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683D7" w14:textId="77777777" w:rsidR="00BC41EA" w:rsidRPr="001301C3" w:rsidRDefault="00BC41EA" w:rsidP="00BC41EA">
      <w:pPr>
        <w:jc w:val="center"/>
        <w:rPr>
          <w:b/>
          <w:bCs/>
          <w:lang w:val="en-US"/>
        </w:rPr>
      </w:pPr>
      <w:r w:rsidRPr="001301C3">
        <w:rPr>
          <w:b/>
          <w:bCs/>
          <w:lang w:val="en-US"/>
        </w:rPr>
        <w:t>Saint Petersburg State University</w:t>
      </w:r>
    </w:p>
    <w:p w14:paraId="522CD0CE" w14:textId="77777777" w:rsidR="00BC41EA" w:rsidRPr="001301C3" w:rsidRDefault="00BC41EA" w:rsidP="00BC41EA">
      <w:pPr>
        <w:jc w:val="center"/>
        <w:rPr>
          <w:b/>
          <w:bCs/>
          <w:lang w:val="en-US"/>
        </w:rPr>
      </w:pPr>
    </w:p>
    <w:p w14:paraId="1C5358DD" w14:textId="77777777" w:rsidR="00BC41EA" w:rsidRPr="001301C3" w:rsidRDefault="00BC41EA" w:rsidP="00BC41EA">
      <w:pPr>
        <w:jc w:val="center"/>
        <w:rPr>
          <w:b/>
          <w:bCs/>
          <w:lang w:val="en-US"/>
        </w:rPr>
      </w:pPr>
      <w:r w:rsidRPr="001301C3">
        <w:rPr>
          <w:b/>
          <w:bCs/>
          <w:lang w:val="en-US"/>
        </w:rPr>
        <w:t>Faculty of Economics</w:t>
      </w:r>
    </w:p>
    <w:p w14:paraId="4484CA96" w14:textId="77777777" w:rsidR="00BC41EA" w:rsidRPr="001301C3" w:rsidRDefault="00BC41EA" w:rsidP="00BC41EA">
      <w:pPr>
        <w:jc w:val="center"/>
        <w:rPr>
          <w:b/>
          <w:bCs/>
          <w:lang w:val="en-US"/>
        </w:rPr>
      </w:pPr>
    </w:p>
    <w:p w14:paraId="355CAE17" w14:textId="77777777" w:rsidR="00BC41EA" w:rsidRPr="001301C3" w:rsidRDefault="00BC41EA" w:rsidP="00BC41EA">
      <w:pPr>
        <w:jc w:val="center"/>
        <w:rPr>
          <w:b/>
          <w:bCs/>
          <w:lang w:val="en-US"/>
        </w:rPr>
      </w:pPr>
      <w:r w:rsidRPr="001301C3">
        <w:rPr>
          <w:b/>
          <w:bCs/>
          <w:lang w:val="en-US"/>
        </w:rPr>
        <w:t>Module Specification</w:t>
      </w:r>
    </w:p>
    <w:p w14:paraId="3F8F7AC7" w14:textId="77777777" w:rsidR="00BC41EA" w:rsidRDefault="00BC41EA" w:rsidP="00BC41E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6223"/>
      </w:tblGrid>
      <w:tr w:rsidR="00BC41EA" w:rsidRPr="00766CBF" w14:paraId="40F22DBB" w14:textId="77777777">
        <w:tc>
          <w:tcPr>
            <w:tcW w:w="468" w:type="dxa"/>
          </w:tcPr>
          <w:p w14:paraId="7E65F6A3" w14:textId="77777777" w:rsidR="00BC41EA" w:rsidRPr="00766CBF" w:rsidRDefault="00BC41EA" w:rsidP="00911D1E">
            <w:pPr>
              <w:rPr>
                <w:lang w:val="en-US"/>
              </w:rPr>
            </w:pPr>
          </w:p>
        </w:tc>
        <w:tc>
          <w:tcPr>
            <w:tcW w:w="2880" w:type="dxa"/>
          </w:tcPr>
          <w:p w14:paraId="28B3BCF5" w14:textId="77777777" w:rsidR="00BC41EA" w:rsidRPr="00766CBF" w:rsidRDefault="00BC41EA" w:rsidP="00911D1E">
            <w:pPr>
              <w:rPr>
                <w:b/>
                <w:bCs/>
              </w:rPr>
            </w:pPr>
            <w:r w:rsidRPr="00766CBF">
              <w:rPr>
                <w:b/>
                <w:bCs/>
                <w:lang w:val="en-US"/>
              </w:rPr>
              <w:t>Basic module information</w:t>
            </w:r>
          </w:p>
        </w:tc>
        <w:tc>
          <w:tcPr>
            <w:tcW w:w="6223" w:type="dxa"/>
          </w:tcPr>
          <w:p w14:paraId="1264D2A8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</w:p>
        </w:tc>
      </w:tr>
      <w:tr w:rsidR="00BC41EA" w:rsidRPr="00766438" w14:paraId="73677DB2" w14:textId="77777777">
        <w:tc>
          <w:tcPr>
            <w:tcW w:w="468" w:type="dxa"/>
          </w:tcPr>
          <w:p w14:paraId="25D12957" w14:textId="77777777" w:rsidR="00BC41EA" w:rsidRPr="00766CBF" w:rsidRDefault="00BC41EA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2880" w:type="dxa"/>
          </w:tcPr>
          <w:p w14:paraId="642BB03E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Module title</w:t>
            </w:r>
          </w:p>
        </w:tc>
        <w:tc>
          <w:tcPr>
            <w:tcW w:w="6223" w:type="dxa"/>
          </w:tcPr>
          <w:p w14:paraId="7B1518DB" w14:textId="77777777" w:rsidR="00BC41EA" w:rsidRPr="008E798E" w:rsidRDefault="002F559D" w:rsidP="002F559D">
            <w:pPr>
              <w:rPr>
                <w:bCs/>
                <w:caps/>
                <w:lang w:val="en-US"/>
              </w:rPr>
            </w:pPr>
            <w:r>
              <w:rPr>
                <w:bCs/>
                <w:lang w:val="en-US"/>
              </w:rPr>
              <w:t>EU in the international trading system</w:t>
            </w:r>
          </w:p>
        </w:tc>
      </w:tr>
      <w:tr w:rsidR="00BC41EA" w:rsidRPr="00766CBF" w14:paraId="2BE0D3C9" w14:textId="77777777">
        <w:tc>
          <w:tcPr>
            <w:tcW w:w="468" w:type="dxa"/>
          </w:tcPr>
          <w:p w14:paraId="644E047B" w14:textId="77777777" w:rsidR="00BC41EA" w:rsidRPr="00766CBF" w:rsidRDefault="00BC41EA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2880" w:type="dxa"/>
          </w:tcPr>
          <w:p w14:paraId="200ED567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Module code</w:t>
            </w:r>
          </w:p>
        </w:tc>
        <w:tc>
          <w:tcPr>
            <w:tcW w:w="6223" w:type="dxa"/>
          </w:tcPr>
          <w:p w14:paraId="741D876A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</w:p>
        </w:tc>
      </w:tr>
      <w:tr w:rsidR="00BC41EA" w:rsidRPr="00766CBF" w14:paraId="2243D4D1" w14:textId="77777777">
        <w:tc>
          <w:tcPr>
            <w:tcW w:w="468" w:type="dxa"/>
          </w:tcPr>
          <w:p w14:paraId="6B299D9C" w14:textId="77777777" w:rsidR="00BC41EA" w:rsidRPr="00766CBF" w:rsidRDefault="00BC41EA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2880" w:type="dxa"/>
          </w:tcPr>
          <w:p w14:paraId="36905079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Credit points</w:t>
            </w:r>
          </w:p>
        </w:tc>
        <w:tc>
          <w:tcPr>
            <w:tcW w:w="6223" w:type="dxa"/>
          </w:tcPr>
          <w:p w14:paraId="596C13E3" w14:textId="77777777" w:rsidR="00BC41EA" w:rsidRPr="000D5DA1" w:rsidRDefault="00B26B55" w:rsidP="00911D1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C41EA" w:rsidRPr="00766CBF" w14:paraId="5AD8EAC2" w14:textId="77777777">
        <w:tc>
          <w:tcPr>
            <w:tcW w:w="468" w:type="dxa"/>
          </w:tcPr>
          <w:p w14:paraId="1F48183D" w14:textId="77777777" w:rsidR="00BC41EA" w:rsidRPr="00766CBF" w:rsidRDefault="00BC41EA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2880" w:type="dxa"/>
          </w:tcPr>
          <w:p w14:paraId="2BD6AC7C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Duration</w:t>
            </w:r>
            <w:r w:rsidRPr="00766CBF">
              <w:rPr>
                <w:b/>
                <w:bCs/>
              </w:rPr>
              <w:t xml:space="preserve"> </w:t>
            </w:r>
            <w:r w:rsidRPr="00766CBF">
              <w:rPr>
                <w:b/>
                <w:bCs/>
                <w:lang w:val="en-US"/>
              </w:rPr>
              <w:t>(</w:t>
            </w:r>
            <w:r w:rsidR="000D5DA1">
              <w:rPr>
                <w:b/>
                <w:bCs/>
                <w:lang w:val="en-US"/>
              </w:rPr>
              <w:t xml:space="preserve">contact </w:t>
            </w:r>
            <w:r w:rsidRPr="00766CBF">
              <w:rPr>
                <w:b/>
                <w:bCs/>
                <w:lang w:val="en-US"/>
              </w:rPr>
              <w:t>hours)</w:t>
            </w:r>
          </w:p>
        </w:tc>
        <w:tc>
          <w:tcPr>
            <w:tcW w:w="6223" w:type="dxa"/>
          </w:tcPr>
          <w:p w14:paraId="65A3E018" w14:textId="77777777" w:rsidR="00BC41EA" w:rsidRPr="00B26B55" w:rsidRDefault="00B26B55" w:rsidP="00911D1E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BC41EA" w:rsidRPr="00766CBF" w14:paraId="665F7AA1" w14:textId="77777777">
        <w:tc>
          <w:tcPr>
            <w:tcW w:w="468" w:type="dxa"/>
          </w:tcPr>
          <w:p w14:paraId="4EB2FFD9" w14:textId="77777777" w:rsidR="00BC41EA" w:rsidRPr="00766CBF" w:rsidRDefault="00BC41EA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2880" w:type="dxa"/>
          </w:tcPr>
          <w:p w14:paraId="440E0CD6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6223" w:type="dxa"/>
          </w:tcPr>
          <w:p w14:paraId="6A0F41E2" w14:textId="77777777" w:rsidR="00BC41EA" w:rsidRPr="00766CBF" w:rsidRDefault="00BC41EA" w:rsidP="00911D1E">
            <w:pPr>
              <w:rPr>
                <w:bCs/>
                <w:lang w:val="en-US"/>
              </w:rPr>
            </w:pPr>
            <w:r w:rsidRPr="00766CBF">
              <w:rPr>
                <w:bCs/>
                <w:lang w:val="en-US"/>
              </w:rPr>
              <w:t>World Economy</w:t>
            </w:r>
          </w:p>
        </w:tc>
      </w:tr>
      <w:tr w:rsidR="00BC41EA" w:rsidRPr="00766CBF" w14:paraId="43FCC90E" w14:textId="77777777">
        <w:tc>
          <w:tcPr>
            <w:tcW w:w="468" w:type="dxa"/>
          </w:tcPr>
          <w:p w14:paraId="77F0522B" w14:textId="77777777" w:rsidR="00BC41EA" w:rsidRPr="00766CBF" w:rsidRDefault="00BC41EA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2880" w:type="dxa"/>
          </w:tcPr>
          <w:p w14:paraId="598D3A19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Date</w:t>
            </w:r>
          </w:p>
        </w:tc>
        <w:tc>
          <w:tcPr>
            <w:tcW w:w="6223" w:type="dxa"/>
          </w:tcPr>
          <w:p w14:paraId="19FAC24D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</w:p>
        </w:tc>
      </w:tr>
      <w:tr w:rsidR="00B26B55" w:rsidRPr="00766438" w14:paraId="2320B17A" w14:textId="77777777">
        <w:tc>
          <w:tcPr>
            <w:tcW w:w="9571" w:type="dxa"/>
            <w:gridSpan w:val="3"/>
          </w:tcPr>
          <w:p w14:paraId="53BA0A0F" w14:textId="77777777" w:rsidR="00B26B55" w:rsidRPr="00B26B55" w:rsidRDefault="00B26B55" w:rsidP="00B26B5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module is developed under Jean Monnet Programme.</w:t>
            </w:r>
          </w:p>
        </w:tc>
      </w:tr>
      <w:tr w:rsidR="00BC41EA" w:rsidRPr="00766CBF" w14:paraId="54FB0C4C" w14:textId="77777777">
        <w:tc>
          <w:tcPr>
            <w:tcW w:w="9571" w:type="dxa"/>
            <w:gridSpan w:val="3"/>
          </w:tcPr>
          <w:p w14:paraId="3845487F" w14:textId="77777777" w:rsidR="00BC41EA" w:rsidRPr="00766CBF" w:rsidRDefault="00BC41EA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Overview and Aims</w:t>
            </w:r>
          </w:p>
        </w:tc>
      </w:tr>
      <w:tr w:rsidR="008F4811" w:rsidRPr="00766438" w14:paraId="4511C942" w14:textId="77777777">
        <w:tc>
          <w:tcPr>
            <w:tcW w:w="9571" w:type="dxa"/>
            <w:gridSpan w:val="3"/>
          </w:tcPr>
          <w:p w14:paraId="3E13A97C" w14:textId="77777777" w:rsidR="00ED2112" w:rsidRPr="008F4811" w:rsidRDefault="00BB630A" w:rsidP="00D424C1">
            <w:pPr>
              <w:jc w:val="both"/>
              <w:rPr>
                <w:lang w:val="en-US"/>
              </w:rPr>
            </w:pPr>
            <w:r w:rsidRPr="008F4811">
              <w:rPr>
                <w:b/>
                <w:lang w:val="en-US"/>
              </w:rPr>
              <w:t>Overview</w:t>
            </w:r>
            <w:r w:rsidR="00BC41EA" w:rsidRPr="008F4811">
              <w:rPr>
                <w:b/>
                <w:lang w:val="en-US"/>
              </w:rPr>
              <w:t>:</w:t>
            </w:r>
            <w:r w:rsidR="00BC41EA" w:rsidRPr="008F4811">
              <w:rPr>
                <w:lang w:val="en-US"/>
              </w:rPr>
              <w:t xml:space="preserve"> </w:t>
            </w:r>
            <w:r w:rsidR="00D424C1" w:rsidRPr="008F4811">
              <w:rPr>
                <w:lang w:val="en-US"/>
              </w:rPr>
              <w:t>The course introd</w:t>
            </w:r>
            <w:r w:rsidR="00766438">
              <w:rPr>
                <w:lang w:val="en-US"/>
              </w:rPr>
              <w:t xml:space="preserve">uces students to a contemporary trade policy of the EU in the framework of the WTO. </w:t>
            </w:r>
            <w:r w:rsidR="00D424C1" w:rsidRPr="008F4811">
              <w:rPr>
                <w:lang w:val="en-US"/>
              </w:rPr>
              <w:t>The focus is on</w:t>
            </w:r>
            <w:r w:rsidR="00766438">
              <w:rPr>
                <w:lang w:val="en-US"/>
              </w:rPr>
              <w:t xml:space="preserve"> the EU position in the regulation of trade in goods, services, and intellectual property rights as well as international trade negotiations</w:t>
            </w:r>
            <w:r w:rsidR="00D424C1" w:rsidRPr="008F4811">
              <w:rPr>
                <w:lang w:val="en-US"/>
              </w:rPr>
              <w:t xml:space="preserve">. The course </w:t>
            </w:r>
            <w:r w:rsidR="00766438">
              <w:rPr>
                <w:lang w:val="en-US"/>
              </w:rPr>
              <w:t xml:space="preserve">also </w:t>
            </w:r>
            <w:r w:rsidR="00D424C1" w:rsidRPr="008F4811">
              <w:rPr>
                <w:lang w:val="en-US"/>
              </w:rPr>
              <w:t xml:space="preserve">explores </w:t>
            </w:r>
            <w:r w:rsidR="00766438">
              <w:rPr>
                <w:lang w:val="en-US"/>
              </w:rPr>
              <w:t xml:space="preserve">trade-related issues and discusses </w:t>
            </w:r>
            <w:r w:rsidR="00D424C1" w:rsidRPr="008F4811">
              <w:rPr>
                <w:lang w:val="en-US"/>
              </w:rPr>
              <w:t xml:space="preserve">challenges </w:t>
            </w:r>
            <w:r w:rsidR="00766438">
              <w:rPr>
                <w:lang w:val="en-US"/>
              </w:rPr>
              <w:t>for the EU trade policy development in the WTO.</w:t>
            </w:r>
          </w:p>
          <w:p w14:paraId="1359C6C7" w14:textId="77777777" w:rsidR="00604C41" w:rsidRPr="00766438" w:rsidRDefault="00766438" w:rsidP="00604C41">
            <w:pPr>
              <w:pStyle w:val="3"/>
              <w:widowControl/>
              <w:rPr>
                <w:rFonts w:eastAsia="Batang"/>
                <w:b w:val="0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The aim of the course </w:t>
            </w:r>
            <w:r w:rsidRPr="00766438">
              <w:rPr>
                <w:b w:val="0"/>
                <w:lang w:val="en-US"/>
              </w:rPr>
              <w:t xml:space="preserve">is to </w:t>
            </w:r>
            <w:r>
              <w:rPr>
                <w:b w:val="0"/>
                <w:lang w:val="en-US"/>
              </w:rPr>
              <w:t xml:space="preserve">reveal the characteristics of the EU trade policy </w:t>
            </w:r>
            <w:r w:rsidR="00020502">
              <w:rPr>
                <w:b w:val="0"/>
                <w:lang w:val="en-US"/>
              </w:rPr>
              <w:t xml:space="preserve">from the perspective of its participation in the WTO. </w:t>
            </w:r>
          </w:p>
          <w:p w14:paraId="762B73C4" w14:textId="77777777" w:rsidR="002F4FC4" w:rsidRPr="008F4811" w:rsidRDefault="00020502" w:rsidP="00020502">
            <w:pPr>
              <w:rPr>
                <w:lang w:val="en-US" w:eastAsia="ko-KR"/>
              </w:rPr>
            </w:pPr>
            <w:r>
              <w:rPr>
                <w:rFonts w:eastAsia="Batang"/>
                <w:b/>
                <w:lang w:val="en-US" w:eastAsia="ko-KR"/>
              </w:rPr>
              <w:t>The o</w:t>
            </w:r>
            <w:r w:rsidR="000D5DA1" w:rsidRPr="008F4811">
              <w:rPr>
                <w:rFonts w:eastAsia="Batang"/>
                <w:b/>
                <w:lang w:val="en-US" w:eastAsia="ko-KR"/>
              </w:rPr>
              <w:t>bjectives</w:t>
            </w:r>
            <w:r>
              <w:rPr>
                <w:rFonts w:eastAsia="Batang"/>
                <w:b/>
                <w:lang w:val="en-US" w:eastAsia="ko-KR"/>
              </w:rPr>
              <w:t xml:space="preserve"> </w:t>
            </w:r>
            <w:r w:rsidRPr="00020502">
              <w:rPr>
                <w:rFonts w:eastAsia="Batang"/>
                <w:lang w:val="en-US" w:eastAsia="ko-KR"/>
              </w:rPr>
              <w:t>are the following:</w:t>
            </w:r>
          </w:p>
          <w:p w14:paraId="7C051E3C" w14:textId="77777777" w:rsidR="002F4FC4" w:rsidRPr="008F4811" w:rsidRDefault="00020502" w:rsidP="002F4FC4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F4FC4" w:rsidRPr="008F4811">
              <w:rPr>
                <w:lang w:val="en-US"/>
              </w:rPr>
              <w:t xml:space="preserve">to discuss challenges for modern development of </w:t>
            </w:r>
            <w:r>
              <w:rPr>
                <w:lang w:val="en-US"/>
              </w:rPr>
              <w:t xml:space="preserve">the EU trade policy </w:t>
            </w:r>
            <w:r w:rsidR="002F4FC4" w:rsidRPr="008F4811">
              <w:rPr>
                <w:lang w:val="en-US"/>
              </w:rPr>
              <w:t>in the c</w:t>
            </w:r>
            <w:r>
              <w:rPr>
                <w:lang w:val="en-US"/>
              </w:rPr>
              <w:t>ontext of the WTO regulation</w:t>
            </w:r>
            <w:r w:rsidR="002F4FC4" w:rsidRPr="008F4811">
              <w:rPr>
                <w:lang w:val="en-US"/>
              </w:rPr>
              <w:t>;</w:t>
            </w:r>
          </w:p>
          <w:p w14:paraId="6B65E3B2" w14:textId="77777777" w:rsidR="002F4FC4" w:rsidRPr="008F4811" w:rsidRDefault="00020502" w:rsidP="002F4FC4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F4FC4" w:rsidRPr="008F4811">
              <w:rPr>
                <w:lang w:val="en-US"/>
              </w:rPr>
              <w:t>t</w:t>
            </w:r>
            <w:r w:rsidR="002F4FC4" w:rsidRPr="000D5DA1">
              <w:rPr>
                <w:lang w:val="en-US"/>
              </w:rPr>
              <w:t xml:space="preserve">o </w:t>
            </w:r>
            <w:r>
              <w:rPr>
                <w:lang w:val="en-US"/>
              </w:rPr>
              <w:t>analyze the position and bargaining power of the EU in different aspects of the WTO negotiations</w:t>
            </w:r>
            <w:r w:rsidR="002F4FC4" w:rsidRPr="008F4811">
              <w:rPr>
                <w:rFonts w:eastAsia="Batang"/>
                <w:lang w:val="en-US" w:eastAsia="ko-KR"/>
              </w:rPr>
              <w:t>;</w:t>
            </w:r>
          </w:p>
          <w:p w14:paraId="3EDD2644" w14:textId="77777777" w:rsidR="000D5DA1" w:rsidRPr="008F4811" w:rsidRDefault="002F4FC4" w:rsidP="008F4811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8F4811">
              <w:rPr>
                <w:rFonts w:eastAsia="Batang"/>
                <w:lang w:val="en-US" w:eastAsia="ko-KR"/>
              </w:rPr>
              <w:t>-</w:t>
            </w:r>
            <w:r w:rsidR="00020502">
              <w:rPr>
                <w:rFonts w:eastAsia="Batang"/>
                <w:lang w:val="en-US" w:eastAsia="ko-KR"/>
              </w:rPr>
              <w:t xml:space="preserve"> </w:t>
            </w:r>
            <w:r w:rsidRPr="008F4811">
              <w:rPr>
                <w:rFonts w:eastAsia="Batang"/>
                <w:lang w:val="en-US" w:eastAsia="ko-KR"/>
              </w:rPr>
              <w:t>to prepare the i</w:t>
            </w:r>
            <w:r w:rsidR="00020502">
              <w:rPr>
                <w:rFonts w:eastAsia="Batang"/>
                <w:lang w:val="en-US" w:eastAsia="ko-KR"/>
              </w:rPr>
              <w:t>ndependent analysis of the EU regulation of trade in goods, services, and intellectual property rights.</w:t>
            </w:r>
          </w:p>
        </w:tc>
      </w:tr>
      <w:tr w:rsidR="008F4811" w:rsidRPr="008F4811" w14:paraId="244ECF51" w14:textId="77777777">
        <w:tc>
          <w:tcPr>
            <w:tcW w:w="9571" w:type="dxa"/>
            <w:gridSpan w:val="3"/>
          </w:tcPr>
          <w:p w14:paraId="5662B88D" w14:textId="77777777" w:rsidR="00D424C1" w:rsidRPr="008F4811" w:rsidRDefault="00BC41EA" w:rsidP="00D424C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8F4811">
              <w:rPr>
                <w:b/>
                <w:bCs/>
                <w:lang w:val="en-US"/>
              </w:rPr>
              <w:t>Module Content</w:t>
            </w:r>
          </w:p>
        </w:tc>
      </w:tr>
      <w:tr w:rsidR="008F4811" w:rsidRPr="00766438" w14:paraId="1DC3B3E0" w14:textId="77777777">
        <w:tc>
          <w:tcPr>
            <w:tcW w:w="9571" w:type="dxa"/>
            <w:gridSpan w:val="3"/>
          </w:tcPr>
          <w:p w14:paraId="7E7424F2" w14:textId="77777777" w:rsidR="00B26B55" w:rsidRPr="00B26B55" w:rsidRDefault="00B26B55" w:rsidP="00B26B55">
            <w:pPr>
              <w:jc w:val="both"/>
              <w:rPr>
                <w:lang w:val="en-US"/>
              </w:rPr>
            </w:pPr>
            <w:r w:rsidRPr="002F559D">
              <w:rPr>
                <w:b/>
                <w:lang w:val="en-US"/>
              </w:rPr>
              <w:t>EU in the WTO.</w:t>
            </w:r>
            <w:r>
              <w:rPr>
                <w:lang w:val="en-US"/>
              </w:rPr>
              <w:t xml:space="preserve"> </w:t>
            </w:r>
            <w:r w:rsidR="002F559D" w:rsidRPr="002F559D">
              <w:rPr>
                <w:lang w:val="en-US"/>
              </w:rPr>
              <w:t>The role of the European Commission in the trade policy development. Role of the EU in the international trading system.EU basic goals and negotiating positions.</w:t>
            </w:r>
          </w:p>
          <w:p w14:paraId="48BA65E7" w14:textId="77777777" w:rsidR="00B26B55" w:rsidRPr="00B26B55" w:rsidRDefault="00B26B55" w:rsidP="00B26B55">
            <w:pPr>
              <w:jc w:val="both"/>
              <w:rPr>
                <w:lang w:val="en-US"/>
              </w:rPr>
            </w:pPr>
            <w:r w:rsidRPr="002F559D">
              <w:rPr>
                <w:b/>
                <w:lang w:val="en-US"/>
              </w:rPr>
              <w:t>Trade in goods: positions of the EU.</w:t>
            </w:r>
            <w:r w:rsidR="002F559D">
              <w:rPr>
                <w:lang w:val="en-US"/>
              </w:rPr>
              <w:t xml:space="preserve"> </w:t>
            </w:r>
            <w:r w:rsidRPr="00B26B55">
              <w:rPr>
                <w:lang w:val="en-US"/>
              </w:rPr>
              <w:t>Market access.</w:t>
            </w:r>
            <w:r w:rsidR="002F559D">
              <w:rPr>
                <w:lang w:val="en-US"/>
              </w:rPr>
              <w:t xml:space="preserve"> </w:t>
            </w:r>
            <w:r w:rsidRPr="00B26B55">
              <w:rPr>
                <w:lang w:val="en-US"/>
              </w:rPr>
              <w:t>Standards and technical barriers.</w:t>
            </w:r>
            <w:r w:rsidR="002F559D">
              <w:rPr>
                <w:lang w:val="en-US"/>
              </w:rPr>
              <w:t xml:space="preserve"> </w:t>
            </w:r>
            <w:r w:rsidRPr="00B26B55">
              <w:rPr>
                <w:lang w:val="en-US"/>
              </w:rPr>
              <w:t>State policy in standard development. Technical barriers. Sanitary and phytosanitary measures.</w:t>
            </w:r>
          </w:p>
          <w:p w14:paraId="31E430DA" w14:textId="77777777" w:rsidR="00B26B55" w:rsidRPr="00B26B55" w:rsidRDefault="00AE6903" w:rsidP="00B26B5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Trade in a</w:t>
            </w:r>
            <w:r w:rsidR="00B26B55" w:rsidRPr="002F559D">
              <w:rPr>
                <w:b/>
                <w:lang w:val="en-US"/>
              </w:rPr>
              <w:t>griculture: peculiarities in the EU.</w:t>
            </w:r>
            <w:r w:rsidR="00B26B55" w:rsidRPr="00B26B55">
              <w:rPr>
                <w:lang w:val="en-US"/>
              </w:rPr>
              <w:t xml:space="preserve"> Trade in agricultural products. Disciplines on domestic support. Market access provisions. Export subsidies. Implementation of the Uruguay Round reforms. Agriculture negotiations at Doha round.</w:t>
            </w:r>
          </w:p>
          <w:p w14:paraId="1A32DE2F" w14:textId="77777777" w:rsidR="00B26B55" w:rsidRPr="00B26B55" w:rsidRDefault="00766438" w:rsidP="00B26B5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Trade r</w:t>
            </w:r>
            <w:r w:rsidR="00B26B55" w:rsidRPr="002F559D">
              <w:rPr>
                <w:b/>
                <w:lang w:val="en-US"/>
              </w:rPr>
              <w:t>emedies: positions of the EU.</w:t>
            </w:r>
            <w:r w:rsidR="00B26B55" w:rsidRPr="00B26B55">
              <w:rPr>
                <w:lang w:val="en-US"/>
              </w:rPr>
              <w:t xml:space="preserve"> Safeguards. Antidumping. Subsidy/Countervail. </w:t>
            </w:r>
          </w:p>
          <w:p w14:paraId="2C827363" w14:textId="77777777" w:rsidR="00B26B55" w:rsidRPr="00B26B55" w:rsidRDefault="00B26B55" w:rsidP="00B26B55">
            <w:pPr>
              <w:jc w:val="both"/>
              <w:rPr>
                <w:lang w:val="en-US"/>
              </w:rPr>
            </w:pPr>
            <w:r w:rsidRPr="002F559D">
              <w:rPr>
                <w:b/>
                <w:lang w:val="en-US"/>
              </w:rPr>
              <w:t>Trade in services: positions of the EU.</w:t>
            </w:r>
            <w:r w:rsidRPr="00B26B55">
              <w:rPr>
                <w:lang w:val="en-US"/>
              </w:rPr>
              <w:t xml:space="preserve"> EU as an exporter and importer of services. Regulation in key services sectors. </w:t>
            </w:r>
          </w:p>
          <w:p w14:paraId="23916D4A" w14:textId="77777777" w:rsidR="00B26B55" w:rsidRPr="00B26B55" w:rsidRDefault="00B26B55" w:rsidP="00B26B55">
            <w:pPr>
              <w:jc w:val="both"/>
              <w:rPr>
                <w:lang w:val="en-US"/>
              </w:rPr>
            </w:pPr>
            <w:r w:rsidRPr="00AE6903">
              <w:rPr>
                <w:b/>
                <w:lang w:val="en-US"/>
              </w:rPr>
              <w:t>Intellectual property rights and trade: positions of the EU</w:t>
            </w:r>
            <w:r w:rsidRPr="00B26B55">
              <w:rPr>
                <w:lang w:val="en-US"/>
              </w:rPr>
              <w:t>.</w:t>
            </w:r>
            <w:r w:rsidR="00AE6903">
              <w:rPr>
                <w:lang w:val="en-US"/>
              </w:rPr>
              <w:t xml:space="preserve"> </w:t>
            </w:r>
            <w:r w:rsidRPr="00B26B55">
              <w:rPr>
                <w:lang w:val="en-US"/>
              </w:rPr>
              <w:t>Understanding of intellectual property and tools for protecting intellectual property rights in the EU (patents, trademarks, copyrights and related rights, industrial designs, geographic indications: peculiarities in the EU).</w:t>
            </w:r>
          </w:p>
          <w:p w14:paraId="1D1A7EEF" w14:textId="77777777" w:rsidR="00BC41EA" w:rsidRDefault="00B26B55" w:rsidP="00B26B55">
            <w:pPr>
              <w:jc w:val="both"/>
              <w:rPr>
                <w:lang w:val="en-US"/>
              </w:rPr>
            </w:pPr>
            <w:r w:rsidRPr="00AE6903">
              <w:rPr>
                <w:b/>
                <w:lang w:val="en-US"/>
              </w:rPr>
              <w:t>Trade and crosscutting issues in the EU.</w:t>
            </w:r>
            <w:r w:rsidRPr="00B26B55">
              <w:rPr>
                <w:lang w:val="en-US"/>
              </w:rPr>
              <w:t xml:space="preserve"> Trade and investments. Trade and competition policy. Trade and environment.</w:t>
            </w:r>
          </w:p>
          <w:p w14:paraId="1C846281" w14:textId="77777777" w:rsidR="00AE6903" w:rsidRPr="003747CA" w:rsidRDefault="00AE6903" w:rsidP="00766438">
            <w:pPr>
              <w:jc w:val="both"/>
              <w:rPr>
                <w:color w:val="FF0000"/>
              </w:rPr>
            </w:pPr>
            <w:r w:rsidRPr="003747CA">
              <w:rPr>
                <w:b/>
                <w:lang w:val="en-US"/>
              </w:rPr>
              <w:t xml:space="preserve">EU in </w:t>
            </w:r>
            <w:r w:rsidR="003747CA">
              <w:rPr>
                <w:b/>
                <w:lang w:val="en-US"/>
              </w:rPr>
              <w:t xml:space="preserve">the WTO </w:t>
            </w:r>
            <w:r w:rsidRPr="003747CA">
              <w:rPr>
                <w:b/>
                <w:lang w:val="en-US"/>
              </w:rPr>
              <w:t>trade disputes</w:t>
            </w:r>
            <w:r w:rsidR="003747CA">
              <w:rPr>
                <w:b/>
                <w:lang w:val="en-US"/>
              </w:rPr>
              <w:t xml:space="preserve">. </w:t>
            </w:r>
            <w:r w:rsidR="003747CA">
              <w:rPr>
                <w:lang w:val="en-US"/>
              </w:rPr>
              <w:t>EU as a complainant. EU as a respondent. Key dispute cases.</w:t>
            </w:r>
            <w:bookmarkStart w:id="0" w:name="_GoBack"/>
            <w:bookmarkEnd w:id="0"/>
          </w:p>
        </w:tc>
      </w:tr>
      <w:tr w:rsidR="00BC41EA" w:rsidRPr="00766CBF" w14:paraId="418F0899" w14:textId="77777777">
        <w:tc>
          <w:tcPr>
            <w:tcW w:w="9571" w:type="dxa"/>
            <w:gridSpan w:val="3"/>
          </w:tcPr>
          <w:p w14:paraId="77D85703" w14:textId="77777777" w:rsidR="00BC41EA" w:rsidRPr="00766CBF" w:rsidRDefault="00BC41EA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Indicative Reading</w:t>
            </w:r>
          </w:p>
        </w:tc>
      </w:tr>
      <w:tr w:rsidR="00BC41EA" w:rsidRPr="00766438" w14:paraId="374B8717" w14:textId="77777777">
        <w:tc>
          <w:tcPr>
            <w:tcW w:w="9571" w:type="dxa"/>
            <w:gridSpan w:val="3"/>
          </w:tcPr>
          <w:p w14:paraId="2749AED3" w14:textId="77777777" w:rsidR="00B31D83" w:rsidRPr="003F1115" w:rsidRDefault="00C918E0" w:rsidP="00B31D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Required</w:t>
            </w:r>
            <w:r w:rsidRPr="003F111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readings</w:t>
            </w:r>
          </w:p>
          <w:p w14:paraId="50C494F1" w14:textId="77777777" w:rsidR="00A52E9E" w:rsidRPr="008F4811" w:rsidRDefault="00A52E9E" w:rsidP="00A52E9E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Gaines S.E., Olsen B.E., &amp; Sorensen K. E.  eds. (2014) </w:t>
            </w:r>
            <w:r w:rsidRPr="002F4F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Liberalising trade in the EU and the WTO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Cambridge University Press, Cambridge, UK.</w:t>
            </w:r>
          </w:p>
          <w:p w14:paraId="2092B58C" w14:textId="77777777" w:rsidR="00F97FAA" w:rsidRPr="00A52E9E" w:rsidRDefault="00A52E9E" w:rsidP="00A52E9E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Garcia R.B., Garmendia R. G. (2012) The EU as an actor at the WTO: its strengths and weaknesses throughout history, </w:t>
            </w:r>
            <w:r w:rsidRPr="00FA2AA8">
              <w:rPr>
                <w:i/>
                <w:lang w:val="en-US"/>
              </w:rPr>
              <w:t>Eastern Journal of European Studies</w:t>
            </w:r>
            <w:r>
              <w:rPr>
                <w:lang w:val="en-US"/>
              </w:rPr>
              <w:t>, Vol. 3, Issue 1.</w:t>
            </w:r>
          </w:p>
        </w:tc>
      </w:tr>
      <w:tr w:rsidR="00F97FAA" w:rsidRPr="00766CBF" w14:paraId="12A15151" w14:textId="77777777">
        <w:tc>
          <w:tcPr>
            <w:tcW w:w="9571" w:type="dxa"/>
            <w:gridSpan w:val="3"/>
          </w:tcPr>
          <w:p w14:paraId="678A3EEA" w14:textId="77777777" w:rsidR="00B31D83" w:rsidRPr="00C918E0" w:rsidRDefault="00C918E0" w:rsidP="00B31D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Optional readings</w:t>
            </w:r>
          </w:p>
          <w:p w14:paraId="3D9C94BD" w14:textId="77777777" w:rsidR="000A3208" w:rsidRDefault="00A52E9E" w:rsidP="00926699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Braga C.A.P. &amp; Hoekman B. (2016</w:t>
            </w:r>
            <w:r w:rsidR="000A32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0A3208" w:rsidRPr="00A52E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 of the Global Trade Order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European University Institute, Florence, Italy.</w:t>
            </w:r>
          </w:p>
          <w:p w14:paraId="3B02E88F" w14:textId="77777777" w:rsidR="00A81177" w:rsidRDefault="00A81177" w:rsidP="00926699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Lamy P. (2002) Stepping stones or stumbling blocks? The EU’s approach towards the problem of multilateralism vs regionalism in trade policy, </w:t>
            </w:r>
            <w:r w:rsidRPr="00A81177">
              <w:rPr>
                <w:i/>
                <w:lang w:val="en-US"/>
              </w:rPr>
              <w:t>The World Economy</w:t>
            </w:r>
            <w:r>
              <w:rPr>
                <w:lang w:val="en-US"/>
              </w:rPr>
              <w:t xml:space="preserve">, Vol. 25, Issue 10. </w:t>
            </w:r>
          </w:p>
          <w:p w14:paraId="79A07DE1" w14:textId="77777777" w:rsidR="00A52E9E" w:rsidRDefault="00A52E9E" w:rsidP="00926699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A81177">
              <w:rPr>
                <w:i/>
                <w:lang w:val="en-US"/>
              </w:rPr>
              <w:t>The future of the WTO and the international trading system</w:t>
            </w:r>
            <w:r w:rsidR="000507AE" w:rsidRPr="00A81177">
              <w:rPr>
                <w:i/>
                <w:lang w:val="en-US"/>
              </w:rPr>
              <w:t>: workshop</w:t>
            </w:r>
            <w:r>
              <w:rPr>
                <w:lang w:val="en-US"/>
              </w:rPr>
              <w:t xml:space="preserve"> </w:t>
            </w:r>
            <w:r w:rsidR="000507AE">
              <w:rPr>
                <w:lang w:val="en-US"/>
              </w:rPr>
              <w:t>(2012), European Union.</w:t>
            </w:r>
          </w:p>
          <w:p w14:paraId="1D0A08F7" w14:textId="77777777" w:rsidR="00FA2AA8" w:rsidRDefault="00FA2AA8" w:rsidP="00926699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Torrent R., Bogurina-Kovalkova O., Cuevas A. (2016) Revisiting the foundations of the global trade order from a 21</w:t>
            </w:r>
            <w:r w:rsidRPr="00FA2AA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="00020502">
              <w:rPr>
                <w:lang w:val="en-US"/>
              </w:rPr>
              <w:t>century</w:t>
            </w:r>
            <w:r>
              <w:rPr>
                <w:lang w:val="en-US"/>
              </w:rPr>
              <w:t xml:space="preserve"> perspective, </w:t>
            </w:r>
            <w:r w:rsidRPr="00FA2AA8">
              <w:rPr>
                <w:i/>
                <w:lang w:val="en-US"/>
              </w:rPr>
              <w:t>Vestnik of St. Petersburg University</w:t>
            </w:r>
            <w:r>
              <w:rPr>
                <w:lang w:val="en-US"/>
              </w:rPr>
              <w:t>, Vol. 5, Issue 1.</w:t>
            </w:r>
          </w:p>
          <w:p w14:paraId="2506B8AF" w14:textId="77777777" w:rsidR="003D38B2" w:rsidRDefault="00FA2AA8" w:rsidP="006952D2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www.ec.europa.eu</w:t>
            </w:r>
          </w:p>
          <w:p w14:paraId="0DE7D9F5" w14:textId="77777777" w:rsidR="003D38B2" w:rsidRPr="006952D2" w:rsidRDefault="003D38B2" w:rsidP="006952D2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www.wto.org</w:t>
            </w:r>
          </w:p>
        </w:tc>
      </w:tr>
    </w:tbl>
    <w:p w14:paraId="51B94493" w14:textId="77777777" w:rsidR="00BC41EA" w:rsidRPr="0007448D" w:rsidRDefault="00BC41EA" w:rsidP="00BC41E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C41EA" w:rsidRPr="00766CBF" w14:paraId="543F2143" w14:textId="77777777">
        <w:tc>
          <w:tcPr>
            <w:tcW w:w="9571" w:type="dxa"/>
          </w:tcPr>
          <w:p w14:paraId="4B88A56D" w14:textId="77777777" w:rsidR="00BC41EA" w:rsidRPr="00766CBF" w:rsidRDefault="00BC41EA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Learning outcomes</w:t>
            </w:r>
          </w:p>
        </w:tc>
      </w:tr>
      <w:tr w:rsidR="00BC41EA" w:rsidRPr="00766438" w14:paraId="36EE419C" w14:textId="77777777">
        <w:tc>
          <w:tcPr>
            <w:tcW w:w="9571" w:type="dxa"/>
          </w:tcPr>
          <w:p w14:paraId="14EBD8F1" w14:textId="77777777" w:rsidR="00BC41EA" w:rsidRPr="00766CBF" w:rsidRDefault="00BC41EA" w:rsidP="00911D1E">
            <w:pPr>
              <w:rPr>
                <w:lang w:val="en-US"/>
              </w:rPr>
            </w:pPr>
            <w:r w:rsidRPr="00766CBF">
              <w:rPr>
                <w:b/>
                <w:bCs/>
                <w:lang w:val="en-US"/>
              </w:rPr>
              <w:t>Knowledge and understanding</w:t>
            </w:r>
            <w:r w:rsidRPr="00766CBF">
              <w:rPr>
                <w:lang w:val="en-US"/>
              </w:rPr>
              <w:t>. After studying this module students should be able to:</w:t>
            </w:r>
          </w:p>
        </w:tc>
      </w:tr>
      <w:tr w:rsidR="00BC41EA" w:rsidRPr="00766438" w14:paraId="147234A0" w14:textId="77777777" w:rsidTr="00D424C1">
        <w:trPr>
          <w:trHeight w:val="415"/>
        </w:trPr>
        <w:tc>
          <w:tcPr>
            <w:tcW w:w="9571" w:type="dxa"/>
          </w:tcPr>
          <w:p w14:paraId="6D57D004" w14:textId="77777777" w:rsidR="00EE4F1B" w:rsidRDefault="00EE4F1B" w:rsidP="00EE4F1B">
            <w:pPr>
              <w:pStyle w:val="a6"/>
              <w:widowControl/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</w:t>
            </w:r>
            <w:r w:rsidRPr="00675639">
              <w:rPr>
                <w:szCs w:val="24"/>
                <w:lang w:val="en-US"/>
              </w:rPr>
              <w:t>eveal tendencies of development of</w:t>
            </w:r>
            <w:r>
              <w:rPr>
                <w:szCs w:val="24"/>
                <w:lang w:val="en-US"/>
              </w:rPr>
              <w:t xml:space="preserve"> the EU in the framework of the international trading system;</w:t>
            </w:r>
          </w:p>
          <w:p w14:paraId="5CD41B31" w14:textId="77777777" w:rsidR="00E45990" w:rsidRPr="00750978" w:rsidRDefault="002F4FC4" w:rsidP="00064870">
            <w:pPr>
              <w:pStyle w:val="a6"/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ind w:left="0" w:firstLine="42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Analyze </w:t>
            </w:r>
            <w:r w:rsidR="00EE4F1B">
              <w:rPr>
                <w:szCs w:val="24"/>
                <w:lang w:val="en-US"/>
              </w:rPr>
              <w:t xml:space="preserve">the </w:t>
            </w:r>
            <w:r>
              <w:rPr>
                <w:szCs w:val="24"/>
                <w:lang w:val="en-US"/>
              </w:rPr>
              <w:t>trade policy of the EU and its position in the WTO</w:t>
            </w:r>
            <w:r w:rsidR="00E45990" w:rsidRPr="00750978">
              <w:rPr>
                <w:szCs w:val="24"/>
                <w:lang w:val="en-US"/>
              </w:rPr>
              <w:t>;</w:t>
            </w:r>
          </w:p>
          <w:p w14:paraId="50241CD0" w14:textId="77777777" w:rsidR="00867A20" w:rsidRPr="00EE4F1B" w:rsidRDefault="00604C41" w:rsidP="00EE4F1B">
            <w:pPr>
              <w:pStyle w:val="a6"/>
              <w:widowControl/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</w:t>
            </w:r>
            <w:r w:rsidR="00E45990" w:rsidRPr="00750978">
              <w:rPr>
                <w:szCs w:val="24"/>
                <w:lang w:val="en-US"/>
              </w:rPr>
              <w:t>nde</w:t>
            </w:r>
            <w:r w:rsidR="00EE4F1B">
              <w:rPr>
                <w:szCs w:val="24"/>
                <w:lang w:val="en-US"/>
              </w:rPr>
              <w:t>rstand main features of international regulation in trade in goods, services, and intellectual property rights from the EU perspective.</w:t>
            </w:r>
          </w:p>
        </w:tc>
      </w:tr>
      <w:tr w:rsidR="00BC41EA" w:rsidRPr="00766438" w14:paraId="16A32B0C" w14:textId="77777777">
        <w:tc>
          <w:tcPr>
            <w:tcW w:w="9571" w:type="dxa"/>
          </w:tcPr>
          <w:p w14:paraId="7C59A887" w14:textId="77777777" w:rsidR="00BC41EA" w:rsidRPr="00064870" w:rsidRDefault="00BC41EA" w:rsidP="00766CBF">
            <w:pPr>
              <w:tabs>
                <w:tab w:val="num" w:pos="360"/>
              </w:tabs>
              <w:ind w:left="540" w:hanging="540"/>
              <w:rPr>
                <w:lang w:val="en-US"/>
              </w:rPr>
            </w:pPr>
            <w:r w:rsidRPr="00064870">
              <w:rPr>
                <w:b/>
                <w:bCs/>
                <w:lang w:val="en-US"/>
              </w:rPr>
              <w:t>Skills, qualities and attributes</w:t>
            </w:r>
            <w:r w:rsidRPr="00064870">
              <w:rPr>
                <w:lang w:val="en-US"/>
              </w:rPr>
              <w:t>. After studying this module students should be able to:</w:t>
            </w:r>
          </w:p>
        </w:tc>
      </w:tr>
      <w:tr w:rsidR="00BC41EA" w:rsidRPr="00766438" w14:paraId="12AF0F8D" w14:textId="77777777">
        <w:tc>
          <w:tcPr>
            <w:tcW w:w="9571" w:type="dxa"/>
          </w:tcPr>
          <w:p w14:paraId="0CB72356" w14:textId="77777777" w:rsidR="003D38B2" w:rsidRPr="00186E74" w:rsidRDefault="003D38B2" w:rsidP="003D38B2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and </w:t>
            </w:r>
            <w:r w:rsidRPr="003D3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critically analyze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trade measures of the EU;</w:t>
            </w:r>
          </w:p>
          <w:p w14:paraId="68D341A7" w14:textId="77777777" w:rsidR="00194CFC" w:rsidRPr="00186E74" w:rsidRDefault="00EE4F1B" w:rsidP="00194CF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Discuss, compare and contrast the trade policy of the EU with </w:t>
            </w:r>
            <w:r w:rsidR="006428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 WTO members;</w:t>
            </w:r>
            <w:r w:rsidR="00194CFC" w:rsidRPr="00186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B8A9257" w14:textId="77777777" w:rsidR="003D38B2" w:rsidRPr="003D38B2" w:rsidRDefault="003D38B2" w:rsidP="003D38B2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Estimate and develop forecasts of the EU trade negotiations in the WTO; </w:t>
            </w:r>
          </w:p>
          <w:p w14:paraId="5E1CD1F2" w14:textId="77777777" w:rsidR="00194CFC" w:rsidRPr="00194CFC" w:rsidRDefault="003D38B2" w:rsidP="003D38B2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Elaborate recommendations for developing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trade </w:t>
            </w:r>
            <w:r w:rsidRPr="003D38B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olicy and strategy of companies and</w:t>
            </w:r>
            <w:r w:rsidRPr="003D3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public authorities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towards the EU.</w:t>
            </w:r>
          </w:p>
        </w:tc>
      </w:tr>
    </w:tbl>
    <w:p w14:paraId="60F45782" w14:textId="77777777" w:rsidR="00BC41EA" w:rsidRPr="000E4531" w:rsidRDefault="00BC41EA" w:rsidP="00BC41E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C41EA" w:rsidRPr="00766CBF" w14:paraId="30264659" w14:textId="77777777">
        <w:tc>
          <w:tcPr>
            <w:tcW w:w="9571" w:type="dxa"/>
          </w:tcPr>
          <w:p w14:paraId="18CDF46A" w14:textId="77777777" w:rsidR="00BC41EA" w:rsidRPr="00766CBF" w:rsidRDefault="00BC41EA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Teaching and learning</w:t>
            </w:r>
          </w:p>
        </w:tc>
      </w:tr>
      <w:tr w:rsidR="00BC41EA" w:rsidRPr="00766438" w14:paraId="1F0D5FB2" w14:textId="77777777">
        <w:tc>
          <w:tcPr>
            <w:tcW w:w="9571" w:type="dxa"/>
          </w:tcPr>
          <w:p w14:paraId="476594E1" w14:textId="77777777" w:rsidR="00D424C1" w:rsidRPr="00C918E0" w:rsidRDefault="008E798E" w:rsidP="00AE6903">
            <w:pPr>
              <w:rPr>
                <w:lang w:val="en-US"/>
              </w:rPr>
            </w:pPr>
            <w:r w:rsidRPr="00DE6916">
              <w:rPr>
                <w:lang w:val="en-US"/>
              </w:rPr>
              <w:t>lectures,</w:t>
            </w:r>
            <w:r w:rsidR="00C918E0">
              <w:rPr>
                <w:lang w:val="en-US"/>
              </w:rPr>
              <w:t xml:space="preserve"> </w:t>
            </w:r>
            <w:r w:rsidRPr="00DE6916">
              <w:rPr>
                <w:lang w:val="en-US"/>
              </w:rPr>
              <w:t>seminars,</w:t>
            </w:r>
            <w:r w:rsidR="00C918E0">
              <w:rPr>
                <w:lang w:val="en-US"/>
              </w:rPr>
              <w:t xml:space="preserve"> </w:t>
            </w:r>
            <w:r w:rsidRPr="00DE6916">
              <w:rPr>
                <w:lang w:val="en-US"/>
              </w:rPr>
              <w:t>group presentations,</w:t>
            </w:r>
            <w:r w:rsidR="00C918E0">
              <w:rPr>
                <w:lang w:val="en-US"/>
              </w:rPr>
              <w:t xml:space="preserve"> in-class tasks and discussions, c</w:t>
            </w:r>
            <w:r w:rsidR="00D424C1" w:rsidRPr="00186E74">
              <w:rPr>
                <w:lang w:val="en-US"/>
              </w:rPr>
              <w:t>ase studies</w:t>
            </w:r>
            <w:r w:rsidR="00AE6903">
              <w:rPr>
                <w:lang w:val="en-US"/>
              </w:rPr>
              <w:t>, simulation game</w:t>
            </w:r>
          </w:p>
        </w:tc>
      </w:tr>
      <w:tr w:rsidR="00BC41EA" w:rsidRPr="00766CBF" w14:paraId="7408D950" w14:textId="77777777">
        <w:tc>
          <w:tcPr>
            <w:tcW w:w="9571" w:type="dxa"/>
          </w:tcPr>
          <w:p w14:paraId="5F1CEEFA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Total contact hours</w:t>
            </w:r>
            <w:r w:rsidR="00C918E0">
              <w:rPr>
                <w:b/>
                <w:bCs/>
                <w:lang w:val="en-US"/>
              </w:rPr>
              <w:t xml:space="preserve">: </w:t>
            </w:r>
            <w:r w:rsidR="00AE6903">
              <w:rPr>
                <w:b/>
                <w:bCs/>
                <w:lang w:val="en-US"/>
              </w:rPr>
              <w:t>40</w:t>
            </w:r>
          </w:p>
        </w:tc>
      </w:tr>
      <w:tr w:rsidR="00BC41EA" w:rsidRPr="00766438" w14:paraId="32F74B6B" w14:textId="77777777">
        <w:tc>
          <w:tcPr>
            <w:tcW w:w="9571" w:type="dxa"/>
          </w:tcPr>
          <w:p w14:paraId="1285D2DE" w14:textId="77777777" w:rsidR="008E798E" w:rsidRPr="00906745" w:rsidRDefault="006952D2" w:rsidP="006952D2">
            <w:pPr>
              <w:rPr>
                <w:lang w:val="en-US"/>
              </w:rPr>
            </w:pPr>
            <w:r>
              <w:rPr>
                <w:lang w:val="en-US"/>
              </w:rPr>
              <w:t xml:space="preserve">pre-readings, </w:t>
            </w:r>
            <w:r w:rsidR="008E798E" w:rsidRPr="00DE6916">
              <w:rPr>
                <w:lang w:val="en-US"/>
              </w:rPr>
              <w:t>preparation of presentations</w:t>
            </w:r>
            <w:r w:rsidR="008E798E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8E798E">
              <w:rPr>
                <w:lang w:val="en-US"/>
              </w:rPr>
              <w:t xml:space="preserve">home written </w:t>
            </w:r>
            <w:r w:rsidR="00906745">
              <w:rPr>
                <w:lang w:val="en-US"/>
              </w:rPr>
              <w:t>assignments</w:t>
            </w:r>
            <w:r w:rsidR="00AE6903">
              <w:rPr>
                <w:lang w:val="en-US"/>
              </w:rPr>
              <w:t>, r</w:t>
            </w:r>
            <w:r w:rsidR="00AE6903" w:rsidRPr="00186E74">
              <w:rPr>
                <w:lang w:val="en-US"/>
              </w:rPr>
              <w:t>eviews of published papers</w:t>
            </w:r>
          </w:p>
        </w:tc>
      </w:tr>
      <w:tr w:rsidR="00BC41EA" w:rsidRPr="00766CBF" w14:paraId="45C46271" w14:textId="77777777">
        <w:tc>
          <w:tcPr>
            <w:tcW w:w="9571" w:type="dxa"/>
          </w:tcPr>
          <w:p w14:paraId="54150742" w14:textId="77777777" w:rsidR="00BC41EA" w:rsidRPr="00766CBF" w:rsidRDefault="00BC41EA" w:rsidP="00AE6903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Total non-contact hours</w:t>
            </w:r>
            <w:r w:rsidR="006952D2">
              <w:rPr>
                <w:b/>
                <w:bCs/>
                <w:lang w:val="en-US"/>
              </w:rPr>
              <w:t>:</w:t>
            </w:r>
          </w:p>
        </w:tc>
      </w:tr>
    </w:tbl>
    <w:p w14:paraId="1A015F5F" w14:textId="77777777" w:rsidR="00BC41EA" w:rsidRDefault="00BC41EA" w:rsidP="00BC41E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6769"/>
      </w:tblGrid>
      <w:tr w:rsidR="00BC41EA" w:rsidRPr="00766CBF" w14:paraId="441C1507" w14:textId="77777777">
        <w:tc>
          <w:tcPr>
            <w:tcW w:w="9571" w:type="dxa"/>
            <w:gridSpan w:val="3"/>
          </w:tcPr>
          <w:p w14:paraId="41B47C94" w14:textId="77777777" w:rsidR="00BC41EA" w:rsidRPr="00766CBF" w:rsidRDefault="009D0FC6" w:rsidP="00766CB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Assessment methods</w:t>
            </w:r>
          </w:p>
        </w:tc>
      </w:tr>
      <w:tr w:rsidR="00BC41EA" w:rsidRPr="00766438" w14:paraId="61383C7E" w14:textId="77777777">
        <w:tc>
          <w:tcPr>
            <w:tcW w:w="9571" w:type="dxa"/>
            <w:gridSpan w:val="3"/>
          </w:tcPr>
          <w:p w14:paraId="045F9087" w14:textId="77777777" w:rsidR="00BC41EA" w:rsidRPr="00766CBF" w:rsidRDefault="00BC41EA" w:rsidP="00911D1E">
            <w:pPr>
              <w:rPr>
                <w:lang w:val="en-US"/>
              </w:rPr>
            </w:pPr>
            <w:r w:rsidRPr="00766CBF">
              <w:rPr>
                <w:lang w:val="en-US"/>
              </w:rPr>
              <w:t>This indicates the type and weighting of assessment elements of the module</w:t>
            </w:r>
          </w:p>
        </w:tc>
      </w:tr>
      <w:tr w:rsidR="00BC41EA" w:rsidRPr="00766CBF" w14:paraId="78902550" w14:textId="77777777" w:rsidTr="00750978">
        <w:trPr>
          <w:trHeight w:val="279"/>
        </w:trPr>
        <w:tc>
          <w:tcPr>
            <w:tcW w:w="1368" w:type="dxa"/>
          </w:tcPr>
          <w:p w14:paraId="4575A97B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Weighting</w:t>
            </w:r>
          </w:p>
        </w:tc>
        <w:tc>
          <w:tcPr>
            <w:tcW w:w="1434" w:type="dxa"/>
          </w:tcPr>
          <w:p w14:paraId="4DF3A940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Type</w:t>
            </w:r>
          </w:p>
        </w:tc>
        <w:tc>
          <w:tcPr>
            <w:tcW w:w="6769" w:type="dxa"/>
          </w:tcPr>
          <w:p w14:paraId="17B0E6BA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Description</w:t>
            </w:r>
          </w:p>
        </w:tc>
      </w:tr>
      <w:tr w:rsidR="00BC41EA" w:rsidRPr="00766438" w14:paraId="3AE17B6B" w14:textId="77777777" w:rsidTr="00750978">
        <w:trPr>
          <w:trHeight w:val="277"/>
        </w:trPr>
        <w:tc>
          <w:tcPr>
            <w:tcW w:w="1368" w:type="dxa"/>
          </w:tcPr>
          <w:p w14:paraId="4CF473A9" w14:textId="77777777" w:rsidR="00BC41EA" w:rsidRPr="00064870" w:rsidRDefault="00AE6903" w:rsidP="00911D1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461BE">
              <w:rPr>
                <w:lang w:val="en-US"/>
              </w:rPr>
              <w:t>0</w:t>
            </w:r>
            <w:r w:rsidR="00CD105E" w:rsidRPr="00064870">
              <w:rPr>
                <w:lang w:val="en-US"/>
              </w:rPr>
              <w:t>%</w:t>
            </w:r>
            <w:r w:rsidR="00A948E6" w:rsidRPr="00064870">
              <w:rPr>
                <w:lang w:val="en-US"/>
              </w:rPr>
              <w:t xml:space="preserve"> </w:t>
            </w:r>
          </w:p>
        </w:tc>
        <w:tc>
          <w:tcPr>
            <w:tcW w:w="1434" w:type="dxa"/>
          </w:tcPr>
          <w:p w14:paraId="5905EF23" w14:textId="77777777" w:rsidR="00BC41EA" w:rsidRPr="00064870" w:rsidRDefault="00064870" w:rsidP="00911D1E">
            <w:pPr>
              <w:rPr>
                <w:lang w:val="en-US"/>
              </w:rPr>
            </w:pPr>
            <w:r w:rsidRPr="00064870">
              <w:rPr>
                <w:lang w:val="en-US"/>
              </w:rPr>
              <w:t>In-class work</w:t>
            </w:r>
          </w:p>
        </w:tc>
        <w:tc>
          <w:tcPr>
            <w:tcW w:w="6769" w:type="dxa"/>
          </w:tcPr>
          <w:p w14:paraId="53B3FC43" w14:textId="77777777" w:rsidR="00BC41EA" w:rsidRPr="00064870" w:rsidRDefault="00A948E6" w:rsidP="00750978">
            <w:pPr>
              <w:rPr>
                <w:lang w:val="en-US"/>
              </w:rPr>
            </w:pPr>
            <w:r w:rsidRPr="00064870">
              <w:rPr>
                <w:lang w:val="en-US"/>
              </w:rPr>
              <w:t>Participation in discussions</w:t>
            </w:r>
            <w:r w:rsidR="00AE6903">
              <w:rPr>
                <w:lang w:val="en-US"/>
              </w:rPr>
              <w:t>, simulation game</w:t>
            </w:r>
            <w:r w:rsidRPr="00064870">
              <w:rPr>
                <w:lang w:val="en-US"/>
              </w:rPr>
              <w:t xml:space="preserve"> and presentations</w:t>
            </w:r>
            <w:r w:rsidR="00064870" w:rsidRPr="00064870">
              <w:rPr>
                <w:lang w:val="en-US"/>
              </w:rPr>
              <w:t xml:space="preserve">, in-class </w:t>
            </w:r>
            <w:r w:rsidR="00AE6903">
              <w:rPr>
                <w:lang w:val="en-US"/>
              </w:rPr>
              <w:t>tasks, paper</w:t>
            </w:r>
            <w:r w:rsidR="00750978">
              <w:rPr>
                <w:lang w:val="en-US"/>
              </w:rPr>
              <w:t xml:space="preserve"> review</w:t>
            </w:r>
            <w:r w:rsidR="00AE6903">
              <w:rPr>
                <w:lang w:val="en-US"/>
              </w:rPr>
              <w:t>s</w:t>
            </w:r>
            <w:r w:rsidR="00C461BE">
              <w:rPr>
                <w:lang w:val="en-US"/>
              </w:rPr>
              <w:t>, case studies</w:t>
            </w:r>
          </w:p>
        </w:tc>
      </w:tr>
      <w:tr w:rsidR="00BC41EA" w:rsidRPr="00766438" w14:paraId="35847779" w14:textId="77777777" w:rsidTr="00750978">
        <w:trPr>
          <w:trHeight w:val="277"/>
        </w:trPr>
        <w:tc>
          <w:tcPr>
            <w:tcW w:w="1368" w:type="dxa"/>
          </w:tcPr>
          <w:p w14:paraId="774892FB" w14:textId="77777777" w:rsidR="00BC41EA" w:rsidRPr="00766CBF" w:rsidRDefault="00C461BE" w:rsidP="00911D1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50978">
              <w:rPr>
                <w:lang w:val="en-US"/>
              </w:rPr>
              <w:t>0</w:t>
            </w:r>
            <w:r w:rsidR="00B31D83" w:rsidRPr="00766CBF">
              <w:rPr>
                <w:lang w:val="en-US"/>
              </w:rPr>
              <w:t>%</w:t>
            </w:r>
          </w:p>
        </w:tc>
        <w:tc>
          <w:tcPr>
            <w:tcW w:w="1434" w:type="dxa"/>
          </w:tcPr>
          <w:p w14:paraId="363BA297" w14:textId="77777777" w:rsidR="00BC41EA" w:rsidRPr="00766CBF" w:rsidRDefault="00C461BE" w:rsidP="00911D1E">
            <w:pPr>
              <w:rPr>
                <w:lang w:val="en-US"/>
              </w:rPr>
            </w:pPr>
            <w:r>
              <w:rPr>
                <w:lang w:val="en-US"/>
              </w:rPr>
              <w:t>Final essay</w:t>
            </w:r>
          </w:p>
        </w:tc>
        <w:tc>
          <w:tcPr>
            <w:tcW w:w="6769" w:type="dxa"/>
          </w:tcPr>
          <w:p w14:paraId="28D95AFD" w14:textId="77777777" w:rsidR="00BC41EA" w:rsidRPr="007A382B" w:rsidRDefault="00A948E6" w:rsidP="00C461BE">
            <w:pPr>
              <w:rPr>
                <w:highlight w:val="red"/>
                <w:lang w:val="en-US"/>
              </w:rPr>
            </w:pPr>
            <w:r w:rsidRPr="00064870">
              <w:rPr>
                <w:lang w:val="en-US"/>
              </w:rPr>
              <w:t>Final w</w:t>
            </w:r>
            <w:r w:rsidR="00B31D83" w:rsidRPr="00064870">
              <w:rPr>
                <w:lang w:val="en-US"/>
              </w:rPr>
              <w:t xml:space="preserve">riting examination with opened </w:t>
            </w:r>
            <w:r w:rsidRPr="00064870">
              <w:rPr>
                <w:lang w:val="en-US"/>
              </w:rPr>
              <w:t xml:space="preserve">questions </w:t>
            </w:r>
          </w:p>
        </w:tc>
      </w:tr>
      <w:tr w:rsidR="00BC41EA" w:rsidRPr="00766438" w14:paraId="36DCBD04" w14:textId="77777777">
        <w:tc>
          <w:tcPr>
            <w:tcW w:w="9571" w:type="dxa"/>
            <w:gridSpan w:val="3"/>
          </w:tcPr>
          <w:p w14:paraId="35E83573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Diagnostic/formative assessment</w:t>
            </w:r>
          </w:p>
          <w:p w14:paraId="2857441C" w14:textId="77777777" w:rsidR="00BC41EA" w:rsidRPr="00766CBF" w:rsidRDefault="00BC41EA" w:rsidP="00911D1E">
            <w:pPr>
              <w:rPr>
                <w:lang w:val="en-US"/>
              </w:rPr>
            </w:pPr>
            <w:r w:rsidRPr="00766CBF">
              <w:rPr>
                <w:lang w:val="en-US"/>
              </w:rPr>
              <w:t>This indicates if there are any assessments that do not contribute directly to the final module</w:t>
            </w:r>
          </w:p>
        </w:tc>
      </w:tr>
      <w:tr w:rsidR="00BC41EA" w:rsidRPr="00766438" w14:paraId="7925FA99" w14:textId="77777777">
        <w:tc>
          <w:tcPr>
            <w:tcW w:w="9571" w:type="dxa"/>
            <w:gridSpan w:val="3"/>
          </w:tcPr>
          <w:p w14:paraId="4D4C09EF" w14:textId="77777777" w:rsidR="00BC41EA" w:rsidRPr="00766CBF" w:rsidRDefault="00BC41EA" w:rsidP="00911D1E">
            <w:pPr>
              <w:rPr>
                <w:lang w:val="en-US"/>
              </w:rPr>
            </w:pPr>
          </w:p>
        </w:tc>
      </w:tr>
      <w:tr w:rsidR="00BC41EA" w:rsidRPr="00766438" w14:paraId="39CB7786" w14:textId="77777777">
        <w:tc>
          <w:tcPr>
            <w:tcW w:w="9571" w:type="dxa"/>
            <w:gridSpan w:val="3"/>
          </w:tcPr>
          <w:p w14:paraId="410BCB8C" w14:textId="77777777" w:rsidR="00BC41EA" w:rsidRPr="00766CBF" w:rsidRDefault="00BC41EA" w:rsidP="00911D1E">
            <w:pPr>
              <w:rPr>
                <w:b/>
                <w:bCs/>
                <w:lang w:val="en-US"/>
              </w:rPr>
            </w:pPr>
            <w:r w:rsidRPr="00766CBF">
              <w:rPr>
                <w:b/>
                <w:bCs/>
                <w:lang w:val="en-US"/>
              </w:rPr>
              <w:t>Further information on assessment</w:t>
            </w:r>
          </w:p>
          <w:p w14:paraId="7C8C9F62" w14:textId="77777777" w:rsidR="00BC41EA" w:rsidRPr="00766CBF" w:rsidRDefault="00BC41EA" w:rsidP="00911D1E">
            <w:pPr>
              <w:rPr>
                <w:lang w:val="en-US"/>
              </w:rPr>
            </w:pPr>
            <w:r w:rsidRPr="00766CBF">
              <w:rPr>
                <w:lang w:val="en-US"/>
              </w:rPr>
              <w:t>This section provides further information on the module’s assessment where appropriate</w:t>
            </w:r>
          </w:p>
        </w:tc>
      </w:tr>
      <w:tr w:rsidR="00BC41EA" w:rsidRPr="00766438" w14:paraId="3B5F9578" w14:textId="77777777">
        <w:tc>
          <w:tcPr>
            <w:tcW w:w="9571" w:type="dxa"/>
            <w:gridSpan w:val="3"/>
          </w:tcPr>
          <w:p w14:paraId="4DB53282" w14:textId="77777777" w:rsidR="00BC41EA" w:rsidRPr="00766CBF" w:rsidRDefault="00BC41EA" w:rsidP="00911D1E">
            <w:pPr>
              <w:rPr>
                <w:lang w:val="en-US"/>
              </w:rPr>
            </w:pPr>
          </w:p>
        </w:tc>
      </w:tr>
    </w:tbl>
    <w:p w14:paraId="5CF5FA2E" w14:textId="77777777" w:rsidR="00BC41EA" w:rsidRPr="009B4019" w:rsidRDefault="00BC41EA" w:rsidP="00BC41EA">
      <w:pPr>
        <w:rPr>
          <w:lang w:val="en-US"/>
        </w:rPr>
      </w:pPr>
    </w:p>
    <w:p w14:paraId="638B8B87" w14:textId="77777777" w:rsidR="007D3A79" w:rsidRPr="00BC41EA" w:rsidRDefault="007D3A79">
      <w:pPr>
        <w:rPr>
          <w:lang w:val="en-US"/>
        </w:rPr>
      </w:pPr>
    </w:p>
    <w:sectPr w:rsidR="007D3A79" w:rsidRPr="00BC41EA" w:rsidSect="008D0FE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F8DC" w14:textId="77777777" w:rsidR="00ED7730" w:rsidRDefault="00ED7730">
      <w:r>
        <w:separator/>
      </w:r>
    </w:p>
  </w:endnote>
  <w:endnote w:type="continuationSeparator" w:id="0">
    <w:p w14:paraId="3F899DFB" w14:textId="77777777" w:rsidR="00ED7730" w:rsidRDefault="00ED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338EB" w14:textId="77777777" w:rsidR="00ED7730" w:rsidRDefault="00ED7730">
      <w:r>
        <w:separator/>
      </w:r>
    </w:p>
  </w:footnote>
  <w:footnote w:type="continuationSeparator" w:id="0">
    <w:p w14:paraId="7A57A496" w14:textId="77777777" w:rsidR="00ED7730" w:rsidRDefault="00ED7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F2212" w14:textId="77777777" w:rsidR="009D0FC6" w:rsidRDefault="005E65F2" w:rsidP="00D75A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0FC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6AD238" w14:textId="77777777" w:rsidR="009D0FC6" w:rsidRDefault="009D0FC6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C786" w14:textId="77777777" w:rsidR="009D0FC6" w:rsidRDefault="005E65F2" w:rsidP="00D75A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0F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7CA">
      <w:rPr>
        <w:rStyle w:val="a5"/>
        <w:noProof/>
      </w:rPr>
      <w:t>2</w:t>
    </w:r>
    <w:r>
      <w:rPr>
        <w:rStyle w:val="a5"/>
      </w:rPr>
      <w:fldChar w:fldCharType="end"/>
    </w:r>
  </w:p>
  <w:p w14:paraId="44051CD2" w14:textId="77777777" w:rsidR="009D0FC6" w:rsidRDefault="009D0FC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6E58"/>
    <w:multiLevelType w:val="hybridMultilevel"/>
    <w:tmpl w:val="04F0DB04"/>
    <w:lvl w:ilvl="0" w:tplc="9B7E9EE8">
      <w:start w:val="1"/>
      <w:numFmt w:val="bullet"/>
      <w:lvlText w:val=""/>
      <w:lvlJc w:val="left"/>
      <w:pPr>
        <w:tabs>
          <w:tab w:val="num" w:pos="1106"/>
        </w:tabs>
        <w:ind w:left="822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3758"/>
    <w:multiLevelType w:val="singleLevel"/>
    <w:tmpl w:val="F6AAA2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220584"/>
    <w:multiLevelType w:val="hybridMultilevel"/>
    <w:tmpl w:val="2E9ECBE2"/>
    <w:lvl w:ilvl="0" w:tplc="4A2629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2F0"/>
    <w:multiLevelType w:val="hybridMultilevel"/>
    <w:tmpl w:val="157A4D5A"/>
    <w:lvl w:ilvl="0" w:tplc="F6AAA2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21F6D"/>
    <w:multiLevelType w:val="hybridMultilevel"/>
    <w:tmpl w:val="AA9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06FAA"/>
    <w:multiLevelType w:val="hybridMultilevel"/>
    <w:tmpl w:val="14AEA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EA52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9B7E9EE8">
      <w:start w:val="1"/>
      <w:numFmt w:val="bullet"/>
      <w:lvlText w:val=""/>
      <w:lvlJc w:val="left"/>
      <w:pPr>
        <w:tabs>
          <w:tab w:val="num" w:pos="2320"/>
        </w:tabs>
        <w:ind w:left="2036" w:hanging="56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E76CA"/>
    <w:multiLevelType w:val="hybridMultilevel"/>
    <w:tmpl w:val="F5F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878D2"/>
    <w:multiLevelType w:val="hybridMultilevel"/>
    <w:tmpl w:val="B59C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EA"/>
    <w:rsid w:val="00020502"/>
    <w:rsid w:val="000507AE"/>
    <w:rsid w:val="00064870"/>
    <w:rsid w:val="00070B79"/>
    <w:rsid w:val="0007448D"/>
    <w:rsid w:val="00094583"/>
    <w:rsid w:val="000A3208"/>
    <w:rsid w:val="000B4D86"/>
    <w:rsid w:val="000D5DA1"/>
    <w:rsid w:val="000E4531"/>
    <w:rsid w:val="001159BE"/>
    <w:rsid w:val="001913F7"/>
    <w:rsid w:val="00194CFC"/>
    <w:rsid w:val="001D7B73"/>
    <w:rsid w:val="00213008"/>
    <w:rsid w:val="00232FCF"/>
    <w:rsid w:val="00251EC7"/>
    <w:rsid w:val="00297E09"/>
    <w:rsid w:val="002B3562"/>
    <w:rsid w:val="002F4FC4"/>
    <w:rsid w:val="002F559D"/>
    <w:rsid w:val="00301FED"/>
    <w:rsid w:val="003747CA"/>
    <w:rsid w:val="003761AD"/>
    <w:rsid w:val="003A0574"/>
    <w:rsid w:val="003B3911"/>
    <w:rsid w:val="003D38B2"/>
    <w:rsid w:val="003F1115"/>
    <w:rsid w:val="004104B0"/>
    <w:rsid w:val="004A0876"/>
    <w:rsid w:val="004E66E2"/>
    <w:rsid w:val="005106AB"/>
    <w:rsid w:val="005410AC"/>
    <w:rsid w:val="00594F09"/>
    <w:rsid w:val="0059528A"/>
    <w:rsid w:val="005E631E"/>
    <w:rsid w:val="005E65F2"/>
    <w:rsid w:val="00604C41"/>
    <w:rsid w:val="0064281B"/>
    <w:rsid w:val="00660B9E"/>
    <w:rsid w:val="006925CF"/>
    <w:rsid w:val="00693FD3"/>
    <w:rsid w:val="006952D2"/>
    <w:rsid w:val="006A5029"/>
    <w:rsid w:val="006E2920"/>
    <w:rsid w:val="00750978"/>
    <w:rsid w:val="00766438"/>
    <w:rsid w:val="00766CBF"/>
    <w:rsid w:val="007A382B"/>
    <w:rsid w:val="007D3A79"/>
    <w:rsid w:val="007F66C0"/>
    <w:rsid w:val="00822414"/>
    <w:rsid w:val="008658E1"/>
    <w:rsid w:val="00867A20"/>
    <w:rsid w:val="008D0FE9"/>
    <w:rsid w:val="008E798E"/>
    <w:rsid w:val="008F4811"/>
    <w:rsid w:val="00906745"/>
    <w:rsid w:val="00911D1E"/>
    <w:rsid w:val="00926699"/>
    <w:rsid w:val="009A5453"/>
    <w:rsid w:val="009D0FC6"/>
    <w:rsid w:val="009D10D4"/>
    <w:rsid w:val="00A52E9E"/>
    <w:rsid w:val="00A81177"/>
    <w:rsid w:val="00A91D1F"/>
    <w:rsid w:val="00A948E6"/>
    <w:rsid w:val="00A965D9"/>
    <w:rsid w:val="00AE6903"/>
    <w:rsid w:val="00B07784"/>
    <w:rsid w:val="00B26B55"/>
    <w:rsid w:val="00B31D83"/>
    <w:rsid w:val="00BB630A"/>
    <w:rsid w:val="00BC41EA"/>
    <w:rsid w:val="00BF497F"/>
    <w:rsid w:val="00C461BE"/>
    <w:rsid w:val="00C4720B"/>
    <w:rsid w:val="00C918E0"/>
    <w:rsid w:val="00C926E3"/>
    <w:rsid w:val="00CD105E"/>
    <w:rsid w:val="00D41583"/>
    <w:rsid w:val="00D424C1"/>
    <w:rsid w:val="00D75AE8"/>
    <w:rsid w:val="00DE3F06"/>
    <w:rsid w:val="00E4465F"/>
    <w:rsid w:val="00E45990"/>
    <w:rsid w:val="00ED2112"/>
    <w:rsid w:val="00ED7730"/>
    <w:rsid w:val="00EE4F1B"/>
    <w:rsid w:val="00F14549"/>
    <w:rsid w:val="00F77C7F"/>
    <w:rsid w:val="00F97FAA"/>
    <w:rsid w:val="00FA2AA8"/>
    <w:rsid w:val="00FD0B5A"/>
    <w:rsid w:val="00FD4B82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3A90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E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D2112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D21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D0F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0FE9"/>
  </w:style>
  <w:style w:type="paragraph" w:styleId="a6">
    <w:name w:val="Body Text"/>
    <w:basedOn w:val="a"/>
    <w:link w:val="a7"/>
    <w:rsid w:val="00ED211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ED2112"/>
    <w:rPr>
      <w:sz w:val="24"/>
    </w:rPr>
  </w:style>
  <w:style w:type="character" w:customStyle="1" w:styleId="30">
    <w:name w:val="Заголовок 3 Знак"/>
    <w:link w:val="3"/>
    <w:rsid w:val="00ED2112"/>
    <w:rPr>
      <w:b/>
      <w:sz w:val="24"/>
    </w:rPr>
  </w:style>
  <w:style w:type="character" w:customStyle="1" w:styleId="40">
    <w:name w:val="Заголовок 4 Знак"/>
    <w:link w:val="4"/>
    <w:semiHidden/>
    <w:rsid w:val="00ED211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rsid w:val="00C4720B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C4720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C4720B"/>
    <w:rPr>
      <w:rFonts w:ascii="Calibri" w:eastAsia="Calibri" w:hAnsi="Calibri"/>
      <w:lang w:eastAsia="en-US"/>
    </w:rPr>
  </w:style>
  <w:style w:type="paragraph" w:customStyle="1" w:styleId="1">
    <w:name w:val="Абзац списка1"/>
    <w:basedOn w:val="a"/>
    <w:rsid w:val="00D424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footnote reference"/>
    <w:rsid w:val="00B26B55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Saint Petersburg State University</vt:lpstr>
    </vt:vector>
  </TitlesOfParts>
  <Company>SPecialiST RePack</Company>
  <LinksUpToDate>false</LinksUpToDate>
  <CharactersWithSpaces>5196</CharactersWithSpaces>
  <SharedDoc>false</SharedDoc>
  <HLinks>
    <vt:vector size="6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http://www.imf.org/external/pubs/ft/wp/2003/wp0330.pdf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Petersburg State University</dc:title>
  <dc:creator>Asus</dc:creator>
  <cp:lastModifiedBy>Olga</cp:lastModifiedBy>
  <cp:revision>3</cp:revision>
  <dcterms:created xsi:type="dcterms:W3CDTF">2016-07-05T07:55:00Z</dcterms:created>
  <dcterms:modified xsi:type="dcterms:W3CDTF">2018-04-16T17:53:00Z</dcterms:modified>
</cp:coreProperties>
</file>