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1" w:rsidRPr="001B42F6" w:rsidRDefault="00011843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r w:rsidRPr="001B42F6">
        <w:rPr>
          <w:rFonts w:ascii="Arial" w:eastAsia="Arial Unicode MS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7968"/>
      </w:tblGrid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011843" w:rsidP="00011843">
            <w:pPr>
              <w:pStyle w:val="a7"/>
              <w:ind w:right="12"/>
              <w:contextualSpacing/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68" w:type="dxa"/>
          </w:tcPr>
          <w:p w:rsidR="004F36E1" w:rsidRPr="001B42F6" w:rsidRDefault="0024027C" w:rsidP="0024027C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Alexander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I</w:t>
            </w:r>
            <w:r w:rsidR="00272BBA" w:rsidRPr="001B42F6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POGORLETSKIY</w:t>
            </w:r>
          </w:p>
        </w:tc>
      </w:tr>
      <w:tr w:rsidR="004F36E1" w:rsidRPr="004B26B2" w:rsidTr="003335B4">
        <w:trPr>
          <w:trHeight w:val="20"/>
        </w:trPr>
        <w:tc>
          <w:tcPr>
            <w:tcW w:w="2712" w:type="dxa"/>
          </w:tcPr>
          <w:p w:rsidR="004F36E1" w:rsidRPr="001B42F6" w:rsidRDefault="00272BB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Born</w:t>
            </w:r>
          </w:p>
        </w:tc>
        <w:tc>
          <w:tcPr>
            <w:tcW w:w="7968" w:type="dxa"/>
          </w:tcPr>
          <w:p w:rsidR="004F36E1" w:rsidRPr="001B42F6" w:rsidRDefault="0024027C" w:rsidP="0024027C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August 20</w:t>
            </w:r>
            <w:r w:rsidR="00272BBA" w:rsidRPr="001B42F6">
              <w:rPr>
                <w:rFonts w:ascii="Arial" w:eastAsia="Arial Unicode MS" w:hAnsi="Arial" w:cs="Arial"/>
                <w:b/>
                <w:sz w:val="24"/>
                <w:szCs w:val="24"/>
              </w:rPr>
              <w:t>, 19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en-US"/>
              </w:rPr>
              <w:t>71</w:t>
            </w:r>
          </w:p>
        </w:tc>
      </w:tr>
      <w:tr w:rsidR="001B42F6" w:rsidRPr="0024027C" w:rsidTr="003335B4">
        <w:trPr>
          <w:trHeight w:val="20"/>
        </w:trPr>
        <w:tc>
          <w:tcPr>
            <w:tcW w:w="2712" w:type="dxa"/>
          </w:tcPr>
          <w:p w:rsidR="001B42F6" w:rsidRPr="001B42F6" w:rsidRDefault="001B42F6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1B42F6" w:rsidRPr="001B42F6" w:rsidRDefault="001B42F6" w:rsidP="0024027C">
            <w:pPr>
              <w:pStyle w:val="a6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1B42F6">
              <w:rPr>
                <w:rFonts w:ascii="Tahoma" w:hAnsi="Tahoma" w:cs="Tahoma"/>
                <w:sz w:val="24"/>
                <w:szCs w:val="24"/>
                <w:lang w:val="en-US"/>
              </w:rPr>
              <w:t>Professor, Department of World Economy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68" w:type="dxa"/>
          </w:tcPr>
          <w:p w:rsidR="004F36E1" w:rsidRPr="001B42F6" w:rsidRDefault="00AF2B3A" w:rsidP="0024027C">
            <w:pPr>
              <w:pStyle w:val="a6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hAnsi="Tahoma" w:cs="Tahoma"/>
                <w:sz w:val="24"/>
                <w:szCs w:val="24"/>
              </w:rPr>
              <w:t>19</w:t>
            </w:r>
            <w:r w:rsidR="0024027C">
              <w:rPr>
                <w:rFonts w:ascii="Tahoma" w:hAnsi="Tahoma" w:cs="Tahoma"/>
                <w:sz w:val="24"/>
                <w:szCs w:val="24"/>
              </w:rPr>
              <w:t>93</w:t>
            </w:r>
            <w:r w:rsidRPr="001B42F6">
              <w:rPr>
                <w:rFonts w:ascii="Tahoma" w:hAnsi="Tahoma" w:cs="Tahoma"/>
                <w:sz w:val="24"/>
                <w:szCs w:val="24"/>
              </w:rPr>
              <w:t xml:space="preserve"> – graduation of </w:t>
            </w:r>
            <w:r w:rsidR="0024027C">
              <w:rPr>
                <w:rFonts w:ascii="Tahoma" w:hAnsi="Tahoma" w:cs="Tahoma"/>
                <w:sz w:val="24"/>
                <w:szCs w:val="24"/>
              </w:rPr>
              <w:t>St.Petersburg</w:t>
            </w:r>
            <w:r w:rsidRPr="001B42F6">
              <w:rPr>
                <w:rFonts w:ascii="Tahoma" w:hAnsi="Tahoma" w:cs="Tahoma"/>
                <w:sz w:val="24"/>
                <w:szCs w:val="24"/>
              </w:rPr>
              <w:t xml:space="preserve"> State University (Department of Political Economy)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7968" w:type="dxa"/>
          </w:tcPr>
          <w:p w:rsidR="004F36E1" w:rsidRPr="001B42F6" w:rsidRDefault="00AF2B3A" w:rsidP="001B42F6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Doctor of Economic Sciences,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Associate 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Professor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Publications</w:t>
            </w:r>
            <w:proofErr w:type="spellEnd"/>
          </w:p>
        </w:tc>
        <w:tc>
          <w:tcPr>
            <w:tcW w:w="7968" w:type="dxa"/>
          </w:tcPr>
          <w:p w:rsidR="00AF2B3A" w:rsidRDefault="00AF2B3A" w:rsidP="00AF2B3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Author of more than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160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books,   pamphlets  and articles in different fields of economic theory.  Some recent publications:</w:t>
            </w:r>
          </w:p>
          <w:p w:rsidR="0024027C" w:rsidRPr="0024027C" w:rsidRDefault="00AF2B3A" w:rsidP="00AF2B3A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Pogorletskiy</w:t>
            </w:r>
            <w:proofErr w:type="spellEnd"/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A.I. </w:t>
            </w:r>
            <w:r w:rsidR="0024027C" w:rsidRPr="0024027C">
              <w:rPr>
                <w:rFonts w:ascii="Tahoma" w:hAnsi="Tahoma" w:cs="Tahoma"/>
                <w:sz w:val="24"/>
                <w:szCs w:val="24"/>
                <w:lang w:val="en-US"/>
              </w:rPr>
              <w:t>Tax policy in the contemporary world: peculiarities and prospects, implementation in Russia // Journal of Tax Reform, 2017, vol. 3, no. 1, pp. 29–42.</w:t>
            </w:r>
          </w:p>
          <w:p w:rsidR="0024027C" w:rsidRPr="0024027C" w:rsidRDefault="0024027C" w:rsidP="00AF2B3A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Pogorletskiy</w:t>
            </w:r>
            <w:proofErr w:type="spellEnd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Kilinkarova</w:t>
            </w:r>
            <w:proofErr w:type="spellEnd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Bashkirova</w:t>
            </w:r>
            <w:proofErr w:type="spellEnd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 xml:space="preserve"> N. The Complexity Of Tax Simplification: Russia// The Complexity of Tax Simplification: Experiences From Around the World / Edited by Simon James, Adrian Sawyer, Tamer </w:t>
            </w:r>
            <w:proofErr w:type="spellStart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Budak</w:t>
            </w:r>
            <w:proofErr w:type="spellEnd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. London: Palgrave Macmillan, 2016. Pp. 133 - 156.</w:t>
            </w:r>
          </w:p>
          <w:p w:rsidR="004F36E1" w:rsidRPr="001B42F6" w:rsidRDefault="0024027C" w:rsidP="006B7D1F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Pogorletskiy</w:t>
            </w:r>
            <w:proofErr w:type="spellEnd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 xml:space="preserve"> A.I., </w:t>
            </w:r>
            <w:proofErr w:type="spellStart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>Bashkirova</w:t>
            </w:r>
            <w:proofErr w:type="spellEnd"/>
            <w:r w:rsidRPr="0024027C">
              <w:rPr>
                <w:rFonts w:ascii="Tahoma" w:hAnsi="Tahoma" w:cs="Tahoma"/>
                <w:sz w:val="24"/>
                <w:szCs w:val="24"/>
                <w:lang w:val="en-US"/>
              </w:rPr>
              <w:t xml:space="preserve"> N.N. The Dynamics of Tax System and Tax Administration Development in the Russian Federation // Journal of Tax Reform. 2015. T. 1. № 1. P. 4 – 24.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4F36E1" w:rsidRPr="001B42F6" w:rsidRDefault="00620CBB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Scientific Interests</w:t>
            </w:r>
          </w:p>
        </w:tc>
        <w:tc>
          <w:tcPr>
            <w:tcW w:w="7968" w:type="dxa"/>
          </w:tcPr>
          <w:p w:rsidR="004F36E1" w:rsidRPr="001B42F6" w:rsidRDefault="0024027C" w:rsidP="0024027C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International Taxation, International Management, Economy of Foreign Countries (Germany, Switzerland)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4F36E1" w:rsidRPr="001B42F6" w:rsidRDefault="00A71D1C" w:rsidP="004B26B2">
            <w:pPr>
              <w:pStyle w:val="1"/>
              <w:spacing w:after="0"/>
              <w:ind w:right="12"/>
              <w:contextualSpacing/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</w:pP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Teaching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experience</w:t>
            </w:r>
            <w:proofErr w:type="spellEnd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 xml:space="preserve"> </w:t>
            </w:r>
            <w:proofErr w:type="spellStart"/>
            <w:r w:rsidRPr="001B42F6">
              <w:rPr>
                <w:rFonts w:ascii="Arial" w:eastAsia="Arial Unicode MS" w:hAnsi="Arial" w:cs="Arial"/>
                <w:b/>
                <w:bCs/>
                <w:i w:val="0"/>
                <w:color w:val="auto"/>
                <w:sz w:val="24"/>
                <w:u w:val="none"/>
              </w:rPr>
              <w:t>record</w:t>
            </w:r>
            <w:proofErr w:type="spellEnd"/>
          </w:p>
        </w:tc>
        <w:tc>
          <w:tcPr>
            <w:tcW w:w="7968" w:type="dxa"/>
          </w:tcPr>
          <w:p w:rsidR="004F36E1" w:rsidRPr="0024027C" w:rsidRDefault="00011843" w:rsidP="0024027C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Delivers (in Russian and in English) lectures in: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"World Economy", "International Economic Relations", "Public Finance", "Taxes and Taxation", "International Taxation", "International Tax Planning", "International Management and Marketing",</w:t>
            </w:r>
            <w:r w:rsidR="003A5DB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"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the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International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Trading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System</w:t>
            </w:r>
            <w:r w:rsidR="003A5DB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,  “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External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Factors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of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the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Development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”, “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Issues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of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3A5DB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the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economic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policy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development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” , "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Actual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issues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of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the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European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</w:t>
            </w:r>
            <w:r w:rsid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Integration</w:t>
            </w:r>
            <w:r w:rsidR="0024027C" w:rsidRPr="0024027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"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011843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Participation in International </w:t>
            </w:r>
          </w:p>
          <w:p w:rsidR="004F36E1" w:rsidRPr="001B42F6" w:rsidRDefault="00011843" w:rsidP="004B26B2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Congresses and Conferences</w:t>
            </w:r>
          </w:p>
        </w:tc>
        <w:tc>
          <w:tcPr>
            <w:tcW w:w="7968" w:type="dxa"/>
          </w:tcPr>
          <w:p w:rsidR="004F36E1" w:rsidRPr="001B42F6" w:rsidRDefault="00011843" w:rsidP="00881771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During last 20 years</w:t>
            </w:r>
            <w:r w:rsidR="003A5DBC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has participated in more than 3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0 international Congresses</w:t>
            </w:r>
            <w:r w:rsidR="006B7D1F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, Symposiums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and Conferences</w:t>
            </w:r>
            <w:r w:rsidR="006B7D1F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(including USA, </w:t>
            </w:r>
            <w:r w:rsidR="00881771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China, Germany, Brazil, Georgia, Armenia, Ukraine) 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3335B4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Experience of International </w:t>
            </w:r>
          </w:p>
          <w:p w:rsidR="004F36E1" w:rsidRPr="001B42F6" w:rsidRDefault="00AF2B3A" w:rsidP="004B26B2">
            <w:pPr>
              <w:spacing w:after="0" w:line="240" w:lineRule="auto"/>
              <w:ind w:right="11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7968" w:type="dxa"/>
          </w:tcPr>
          <w:p w:rsidR="003A5DBC" w:rsidRPr="006B7D1F" w:rsidRDefault="003A5DBC" w:rsidP="006B7D1F">
            <w:pPr>
              <w:spacing w:after="0" w:line="240" w:lineRule="auto"/>
              <w:rPr>
                <w:rFonts w:ascii="Tahoma" w:hAnsi="Tahoma" w:cs="Tahoma"/>
                <w:sz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1997-1998: NORLET’s (Nordic-Russian Leadership  Executive Training) Russian Training Director, Russia</w:t>
            </w:r>
          </w:p>
          <w:p w:rsidR="00222BF0" w:rsidRPr="006B7D1F" w:rsidRDefault="00222BF0" w:rsidP="006B7D1F">
            <w:pPr>
              <w:spacing w:after="0"/>
              <w:rPr>
                <w:rFonts w:ascii="Tahoma" w:hAnsi="Tahoma" w:cs="Tahoma"/>
                <w:sz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1998: Internship on Strategy in Norwegian School of Economics</w:t>
            </w:r>
          </w:p>
          <w:p w:rsidR="00222BF0" w:rsidRPr="006B7D1F" w:rsidRDefault="00222BF0" w:rsidP="006B7D1F">
            <w:pPr>
              <w:spacing w:after="0"/>
              <w:rPr>
                <w:rFonts w:ascii="Tahoma" w:hAnsi="Tahoma" w:cs="Tahoma"/>
                <w:sz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1998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>, 1999</w:t>
            </w:r>
            <w:r w:rsidRPr="006B7D1F">
              <w:rPr>
                <w:rFonts w:ascii="Tahoma" w:hAnsi="Tahoma" w:cs="Tahoma"/>
                <w:sz w:val="24"/>
                <w:lang w:val="en-US"/>
              </w:rPr>
              <w:t>:</w:t>
            </w:r>
            <w:r w:rsidRPr="006B7D1F">
              <w:rPr>
                <w:rFonts w:ascii="Tahoma" w:hAnsi="Tahoma" w:cs="Tahoma"/>
                <w:sz w:val="24"/>
                <w:lang w:val="en-US"/>
              </w:rPr>
              <w:tab/>
              <w:t>Training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s </w:t>
            </w:r>
            <w:r w:rsidRPr="006B7D1F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in </w:t>
            </w:r>
            <w:r w:rsidRPr="006B7D1F">
              <w:rPr>
                <w:rFonts w:ascii="Tahoma" w:hAnsi="Tahoma" w:cs="Tahoma"/>
                <w:sz w:val="24"/>
                <w:lang w:val="en-US"/>
              </w:rPr>
              <w:t>Swedish Institute of Management (IFL)</w:t>
            </w:r>
          </w:p>
          <w:p w:rsidR="003A5DBC" w:rsidRPr="006B7D1F" w:rsidRDefault="003A5DBC" w:rsidP="006B7D1F">
            <w:pPr>
              <w:spacing w:after="0"/>
              <w:rPr>
                <w:rFonts w:ascii="Tahoma" w:hAnsi="Tahoma" w:cs="Tahoma"/>
                <w:sz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2000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>-2008</w:t>
            </w:r>
            <w:r w:rsidRPr="006B7D1F">
              <w:rPr>
                <w:rFonts w:ascii="Tahoma" w:hAnsi="Tahoma" w:cs="Tahoma"/>
                <w:sz w:val="24"/>
                <w:lang w:val="en-US"/>
              </w:rPr>
              <w:t>: Academic Scholarships in Free University of Berlin, Germany</w:t>
            </w:r>
          </w:p>
          <w:p w:rsidR="003A5DBC" w:rsidRPr="006B7D1F" w:rsidRDefault="003A5DBC" w:rsidP="006B7D1F">
            <w:pPr>
              <w:spacing w:after="0"/>
              <w:rPr>
                <w:rFonts w:ascii="Tahoma" w:hAnsi="Tahoma" w:cs="Tahoma"/>
                <w:sz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2002-2003, 2006: Academic Scholarship</w:t>
            </w:r>
            <w:r w:rsidR="006B7D1F">
              <w:rPr>
                <w:rFonts w:ascii="Tahoma" w:hAnsi="Tahoma" w:cs="Tahoma"/>
                <w:sz w:val="24"/>
                <w:lang w:val="en-US"/>
              </w:rPr>
              <w:t>s</w:t>
            </w:r>
            <w:r w:rsidRPr="006B7D1F">
              <w:rPr>
                <w:rFonts w:ascii="Tahoma" w:hAnsi="Tahoma" w:cs="Tahoma"/>
                <w:sz w:val="24"/>
                <w:lang w:val="en-US"/>
              </w:rPr>
              <w:t xml:space="preserve"> in University of Geneva, 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Switzerland </w:t>
            </w:r>
          </w:p>
          <w:p w:rsidR="006B7D1F" w:rsidRDefault="003A5DBC" w:rsidP="006B7D1F">
            <w:pPr>
              <w:spacing w:after="0"/>
              <w:rPr>
                <w:rFonts w:ascii="Tahoma" w:hAnsi="Tahoma" w:cs="Tahoma"/>
                <w:sz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2009:</w:t>
            </w:r>
            <w:r w:rsidRPr="006B7D1F">
              <w:rPr>
                <w:rFonts w:ascii="Tahoma" w:hAnsi="Tahoma" w:cs="Tahoma"/>
                <w:sz w:val="24"/>
                <w:lang w:val="en-US"/>
              </w:rPr>
              <w:tab/>
              <w:t>Workshop “Building a Global Partnership – Money, Finance, Trade</w:t>
            </w:r>
            <w:r w:rsidR="00222BF0" w:rsidRPr="006B7D1F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r w:rsidRPr="006B7D1F">
              <w:rPr>
                <w:rFonts w:ascii="Tahoma" w:hAnsi="Tahoma" w:cs="Tahoma"/>
                <w:sz w:val="24"/>
                <w:lang w:val="en-US"/>
              </w:rPr>
              <w:t>and Development”, University of Applied Sciences, Berlin, Germany</w:t>
            </w:r>
            <w:r w:rsidR="00222BF0" w:rsidRPr="006B7D1F">
              <w:rPr>
                <w:rFonts w:ascii="Tahoma" w:hAnsi="Tahoma" w:cs="Tahoma"/>
                <w:sz w:val="24"/>
                <w:lang w:val="en-US"/>
              </w:rPr>
              <w:t xml:space="preserve"> </w:t>
            </w:r>
          </w:p>
          <w:p w:rsidR="004F36E1" w:rsidRPr="006B7D1F" w:rsidRDefault="00222BF0" w:rsidP="006B7D1F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6B7D1F">
              <w:rPr>
                <w:rFonts w:ascii="Tahoma" w:hAnsi="Tahoma" w:cs="Tahoma"/>
                <w:sz w:val="24"/>
                <w:lang w:val="en-US"/>
              </w:rPr>
              <w:t>2001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 - 2016</w:t>
            </w:r>
            <w:r w:rsidRPr="006B7D1F">
              <w:rPr>
                <w:rFonts w:ascii="Tahoma" w:hAnsi="Tahoma" w:cs="Tahoma"/>
                <w:sz w:val="24"/>
                <w:lang w:val="en-US"/>
              </w:rPr>
              <w:t xml:space="preserve">: 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guest </w:t>
            </w:r>
            <w:r w:rsidRPr="006B7D1F">
              <w:rPr>
                <w:rFonts w:ascii="Tahoma" w:hAnsi="Tahoma" w:cs="Tahoma"/>
                <w:sz w:val="24"/>
                <w:lang w:val="en-US"/>
              </w:rPr>
              <w:t xml:space="preserve">lectures on Tax Reform 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and Tax Policy </w:t>
            </w:r>
            <w:r w:rsidRPr="006B7D1F">
              <w:rPr>
                <w:rFonts w:ascii="Tahoma" w:hAnsi="Tahoma" w:cs="Tahoma"/>
                <w:sz w:val="24"/>
                <w:lang w:val="en-US"/>
              </w:rPr>
              <w:t xml:space="preserve">in Russia in 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different universities in </w:t>
            </w:r>
            <w:r w:rsidRPr="006B7D1F">
              <w:rPr>
                <w:rFonts w:ascii="Tahoma" w:hAnsi="Tahoma" w:cs="Tahoma"/>
                <w:sz w:val="24"/>
                <w:lang w:val="en-US"/>
              </w:rPr>
              <w:t>Germany</w:t>
            </w:r>
            <w:r w:rsidR="006B7D1F" w:rsidRPr="006B7D1F">
              <w:rPr>
                <w:rFonts w:ascii="Tahoma" w:hAnsi="Tahoma" w:cs="Tahoma"/>
                <w:sz w:val="24"/>
                <w:lang w:val="en-US"/>
              </w:rPr>
              <w:t xml:space="preserve">, Switzerland, Brazil and China  </w:t>
            </w:r>
          </w:p>
        </w:tc>
      </w:tr>
      <w:tr w:rsidR="004F36E1" w:rsidRPr="0024027C" w:rsidTr="003335B4">
        <w:trPr>
          <w:trHeight w:val="20"/>
        </w:trPr>
        <w:tc>
          <w:tcPr>
            <w:tcW w:w="2712" w:type="dxa"/>
          </w:tcPr>
          <w:p w:rsidR="004F36E1" w:rsidRPr="001B42F6" w:rsidRDefault="00AF2B3A" w:rsidP="00AF2B3A">
            <w:pPr>
              <w:spacing w:after="0" w:line="240" w:lineRule="auto"/>
              <w:ind w:right="12"/>
              <w:contextualSpacing/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</w:pPr>
            <w:r w:rsidRPr="001B42F6">
              <w:rPr>
                <w:rFonts w:ascii="Arial" w:eastAsia="Arial Unicode MS" w:hAnsi="Arial" w:cs="Arial"/>
                <w:b/>
                <w:bCs/>
                <w:iCs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191194 Russia,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St.Petersburg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, 62, </w:t>
            </w:r>
            <w:proofErr w:type="spellStart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Tschaikovskogo</w:t>
            </w:r>
            <w:proofErr w:type="spellEnd"/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 str. </w:t>
            </w:r>
          </w:p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Phone/Fax 7 (812) 363-67-67 </w:t>
            </w:r>
          </w:p>
          <w:p w:rsidR="00272BBA" w:rsidRPr="001B42F6" w:rsidRDefault="00272BBA" w:rsidP="00272BB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E-mail </w:t>
            </w:r>
            <w:r w:rsidR="006B7D1F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pogorletski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@hotmail.com; </w:t>
            </w:r>
            <w:r w:rsidR="006B7D1F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a.pogorletskiy</w:t>
            </w:r>
            <w:r w:rsidRPr="001B42F6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@spbu.ru  </w:t>
            </w:r>
          </w:p>
          <w:p w:rsidR="004F36E1" w:rsidRPr="001B42F6" w:rsidRDefault="004F36E1" w:rsidP="0069620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US"/>
              </w:rPr>
            </w:pPr>
          </w:p>
        </w:tc>
      </w:tr>
    </w:tbl>
    <w:p w:rsidR="004F36E1" w:rsidRPr="00272BBA" w:rsidRDefault="004F36E1" w:rsidP="003335B4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sectPr w:rsidR="004F36E1" w:rsidRPr="00272BBA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45"/>
    <w:multiLevelType w:val="hybridMultilevel"/>
    <w:tmpl w:val="9644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4E2E"/>
    <w:rsid w:val="00011843"/>
    <w:rsid w:val="000318FC"/>
    <w:rsid w:val="00111088"/>
    <w:rsid w:val="00151850"/>
    <w:rsid w:val="001B42F6"/>
    <w:rsid w:val="00222BF0"/>
    <w:rsid w:val="0024027C"/>
    <w:rsid w:val="0026457C"/>
    <w:rsid w:val="00272BBA"/>
    <w:rsid w:val="002E7289"/>
    <w:rsid w:val="003154FA"/>
    <w:rsid w:val="003233BE"/>
    <w:rsid w:val="003335B4"/>
    <w:rsid w:val="003700E1"/>
    <w:rsid w:val="003A5DBC"/>
    <w:rsid w:val="003E0B54"/>
    <w:rsid w:val="004B26B2"/>
    <w:rsid w:val="004F36E1"/>
    <w:rsid w:val="00522BE3"/>
    <w:rsid w:val="00563BB7"/>
    <w:rsid w:val="00591051"/>
    <w:rsid w:val="005C375F"/>
    <w:rsid w:val="00620CBB"/>
    <w:rsid w:val="00696205"/>
    <w:rsid w:val="006B7D1F"/>
    <w:rsid w:val="007817B1"/>
    <w:rsid w:val="00836ED2"/>
    <w:rsid w:val="00881771"/>
    <w:rsid w:val="00A20E47"/>
    <w:rsid w:val="00A50FC1"/>
    <w:rsid w:val="00A71D1C"/>
    <w:rsid w:val="00AC3995"/>
    <w:rsid w:val="00AC4E2E"/>
    <w:rsid w:val="00AF2B3A"/>
    <w:rsid w:val="00B45DFA"/>
    <w:rsid w:val="00BA191A"/>
    <w:rsid w:val="00D02E23"/>
    <w:rsid w:val="00D96BE1"/>
    <w:rsid w:val="00DF0777"/>
    <w:rsid w:val="00EC7BD9"/>
    <w:rsid w:val="00F73866"/>
    <w:rsid w:val="00F9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C"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Название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22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</cp:lastModifiedBy>
  <cp:revision>5</cp:revision>
  <dcterms:created xsi:type="dcterms:W3CDTF">2018-06-13T19:37:00Z</dcterms:created>
  <dcterms:modified xsi:type="dcterms:W3CDTF">2018-06-15T13:28:00Z</dcterms:modified>
</cp:coreProperties>
</file>